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1 </w:t>
      </w:r>
    </w:p>
    <w:p>
      <w:pPr>
        <w:spacing w:line="360" w:lineRule="exac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宿迁产业发展集团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法律服务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遴选单元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》</w:t>
      </w:r>
    </w:p>
    <w:bookmarkEnd w:id="0"/>
    <w:p>
      <w:pPr>
        <w:spacing w:line="360" w:lineRule="exact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</w:p>
    <w:tbl>
      <w:tblPr>
        <w:tblStyle w:val="2"/>
        <w:tblpPr w:leftFromText="180" w:rightFromText="180" w:vertAnchor="text" w:horzAnchor="page" w:tblpX="1365" w:tblpY="3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17"/>
        <w:gridCol w:w="1072"/>
        <w:gridCol w:w="4406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39" w:type="dxa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4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团队名称</w:t>
            </w: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最高限价</w:t>
            </w:r>
          </w:p>
        </w:tc>
        <w:tc>
          <w:tcPr>
            <w:tcW w:w="46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服务对象及服务内容</w:t>
            </w:r>
          </w:p>
        </w:tc>
        <w:tc>
          <w:tcPr>
            <w:tcW w:w="14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</w:rPr>
              <w:t>选聘数量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53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一</w:t>
            </w:r>
          </w:p>
        </w:tc>
        <w:tc>
          <w:tcPr>
            <w:tcW w:w="114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发债服务团队</w:t>
            </w:r>
          </w:p>
        </w:tc>
        <w:tc>
          <w:tcPr>
            <w:tcW w:w="111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10万元/年</w:t>
            </w:r>
          </w:p>
        </w:tc>
        <w:tc>
          <w:tcPr>
            <w:tcW w:w="4678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主要为宿迁产业发展集团有限公司、江苏洋河集团有限公司、宿迁市国丰资产经营管理有限公司提供法律服务，包括但不限于以下服务内容：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1.提供日常法律咨询；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2.草拟、修改、审核重要合同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包括针对常规业务开展过程中的合同审核出具法律意见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，协助制定标准、规范的合同文本；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3.为公司直接融资注册及发行工作出具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份法律意见书（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不包含第2项的法律意见，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4.出席集团风险管理委员会；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5.代理诉讼案件不超过6件（超过部分按公司标准付费）；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6.根据公司业务需要出具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法律意见书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份（超过部分按公司标准付费）；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7.为公司员工提供法律知识培训1期；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8.根据公司业务需要提供的其他法律服务。</w:t>
            </w:r>
          </w:p>
        </w:tc>
        <w:tc>
          <w:tcPr>
            <w:tcW w:w="1446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拟选聘1支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二</w:t>
            </w:r>
          </w:p>
        </w:tc>
        <w:tc>
          <w:tcPr>
            <w:tcW w:w="114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担保服务团队</w:t>
            </w:r>
          </w:p>
        </w:tc>
        <w:tc>
          <w:tcPr>
            <w:tcW w:w="111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10万元/年</w:t>
            </w:r>
          </w:p>
        </w:tc>
        <w:tc>
          <w:tcPr>
            <w:tcW w:w="4678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主要为宿迁市国昇融资担保集团有限公司（含宿迁市同创信用融资担保有限公司、宿迁市恒鑫企业管理有限公司、宿迁市昇创商贸有限公司）提供法律服务，包括但不限于以下服务内容：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1.提供日常法律咨询；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2.草拟、修改、审核重要合同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包括针对常规业务开展过程中的合同审核出具法律意见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，协助制定标准、规范的合同文本；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3.根据公司业务需要出具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法律意见书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份（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不包含第2项的法律意见，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4.出席集团风险管理委员会；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5.代理诉讼案件不超过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件（超过部分按公司标准付费）；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6.为公司员工提供法律知识培训1期；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7.根据公司业务需要提供的其他法律服务。</w:t>
            </w:r>
          </w:p>
        </w:tc>
        <w:tc>
          <w:tcPr>
            <w:tcW w:w="1446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拟选聘1支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53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三</w:t>
            </w:r>
          </w:p>
        </w:tc>
        <w:tc>
          <w:tcPr>
            <w:tcW w:w="114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小贷服务团队</w:t>
            </w:r>
          </w:p>
        </w:tc>
        <w:tc>
          <w:tcPr>
            <w:tcW w:w="111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10万元/年</w:t>
            </w:r>
          </w:p>
        </w:tc>
        <w:tc>
          <w:tcPr>
            <w:tcW w:w="4678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主要为江苏双沟集团有限公司（含宿迁市同济农村小额贷款有限公司、宿迁市宿城区金水农村小额贷款有限公司、宿迁市高新区科技小额贷款有限公司和宿迁住房金融有限公司）提供法律服务，包括但不限于以下服务内容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1.提供日常法律咨询；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2.草拟、修改、审核重要合同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包括针对常规业务开展过程中的合同审核出具法律意见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，协助制定标准、规范的合同文本；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3.根据公司业务需要出具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法律意见书10份（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不包含第2项的法律意见，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4.出席集团风险管理委员会；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5.代理诉讼案件不超过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件（超过部分按公司标准付费）；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6.为公司员工提供法律知识培训1期；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7.根据公司业务需要提供的其他法律服务。</w:t>
            </w:r>
          </w:p>
        </w:tc>
        <w:tc>
          <w:tcPr>
            <w:tcW w:w="1446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拟选聘1支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</w:trPr>
        <w:tc>
          <w:tcPr>
            <w:tcW w:w="53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四</w:t>
            </w:r>
          </w:p>
        </w:tc>
        <w:tc>
          <w:tcPr>
            <w:tcW w:w="114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资产管理与保理、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租赁团队</w:t>
            </w:r>
          </w:p>
        </w:tc>
        <w:tc>
          <w:tcPr>
            <w:tcW w:w="111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万元/年</w:t>
            </w:r>
          </w:p>
        </w:tc>
        <w:tc>
          <w:tcPr>
            <w:tcW w:w="4678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主要为宿迁市金融资产管理有限公司、宿迁科技创业投资有限公司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江苏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淮海融资租赁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公司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宿迁产发商业保理有限公司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提供法律服务，包括但不限于以下服务内容：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1.提供日常法律咨询；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2.草拟、修改、审核重要合同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包括针对常规业务开展过程中的合同审核出具法律意见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，协助制定标准、规范的合同文本；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3.根据公司业务需要出具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法律意见书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份（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不包含第2项的法律意见，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4.出席集团风险管理委员会；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5.代理诉讼案件不超过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件（超过部分按公司标准付费）；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6.为公司员工提供法律知识培训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期；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7.根据公司业务需要提供的其他法律服务。</w:t>
            </w:r>
          </w:p>
        </w:tc>
        <w:tc>
          <w:tcPr>
            <w:tcW w:w="1446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拟选聘1支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53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14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人才信息与社会事业服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务团队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119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万元/年</w:t>
            </w:r>
          </w:p>
        </w:tc>
        <w:tc>
          <w:tcPr>
            <w:tcW w:w="4678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主要为宿迁人才集团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、上海宿谦信息咨询服务有限公司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宿迁市妇幼健康管理有限公司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宿迁国际饭店有限公司、宿迁永泽福寿园殡葬服务有限公司、宿迁追思园控股有限公司提供法律服务，包括但不限于以下服务内容：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1.提供日常法律咨询；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2.草拟、修改、审核重要合同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包括针对常规业务开展过程中的合同审核出具法律意见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，协助制定标准、规范的合同文本；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3.根据公司业务需要出具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专项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法律意见书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份（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不包含第2项的法律意见，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4.根据需要参与公司重大事项会商，参与医疗纠纷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劳动纠纷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处理；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5.审查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妇幼健康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公司盖章审批等文件材料；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.出席集团风险管理委员会；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.代理诉讼案件不超过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件（超过部分按公司标准付费）；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.为公司员工提供法律知识培训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期；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.根据公司业务需要提供的其他法律服务。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律师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每周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需在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妇幼健康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公司值班2天；</w:t>
            </w: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拟选聘1支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律所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团队熟悉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劳动、医疗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领域相关法律法规，具有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劳动、医疗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诉讼经验，能高效处理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劳动纠纷、医疗纠纷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07" w:line="219" w:lineRule="auto"/>
        <w:ind w:left="129"/>
        <w:rPr>
          <w:rFonts w:hint="default" w:ascii="Times New Roman" w:hAnsi="Times New Roman" w:eastAsia="宋体" w:cs="Times New Roman"/>
          <w:b/>
          <w:bCs/>
          <w:color w:val="auto"/>
          <w:spacing w:val="21"/>
          <w:sz w:val="33"/>
          <w:szCs w:val="33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07" w:line="219" w:lineRule="auto"/>
        <w:ind w:left="129"/>
        <w:rPr>
          <w:rFonts w:hint="default" w:ascii="Times New Roman" w:hAnsi="Times New Roman" w:eastAsia="宋体" w:cs="Times New Roman"/>
          <w:b/>
          <w:bCs/>
          <w:color w:val="auto"/>
          <w:spacing w:val="21"/>
          <w:sz w:val="33"/>
          <w:szCs w:val="33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07" w:line="219" w:lineRule="auto"/>
        <w:ind w:left="129"/>
        <w:rPr>
          <w:rFonts w:hint="default" w:ascii="Times New Roman" w:hAnsi="Times New Roman" w:eastAsia="宋体" w:cs="Times New Roman"/>
          <w:b/>
          <w:bCs/>
          <w:color w:val="auto"/>
          <w:spacing w:val="21"/>
          <w:sz w:val="33"/>
          <w:szCs w:val="33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07" w:line="219" w:lineRule="auto"/>
        <w:ind w:left="129"/>
        <w:rPr>
          <w:rFonts w:hint="default" w:ascii="Times New Roman" w:hAnsi="Times New Roman" w:eastAsia="宋体" w:cs="Times New Roman"/>
          <w:b/>
          <w:bCs/>
          <w:color w:val="auto"/>
          <w:spacing w:val="21"/>
          <w:sz w:val="33"/>
          <w:szCs w:val="33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90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atLeas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atLeas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atLeas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atLeas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atLeas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A2881"/>
    <w:rsid w:val="7C2B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2025-09-09T08:49:00Z</dcterms:created>
  <dc:creator>lenovo</dc:creator>
  <cp:lastModifiedBy>集团办公室周娜</cp:lastModifiedBy>
  <dcterms:modified xsi:type="dcterms:W3CDTF">2025-09-10T06:59:40Z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eyJoZGlkIjoiZTM2NzcyNWFmNDg5OTAwYzJlNThjODcyYTRiZmI3NDciLCJ1c2VySWQiOiIxNTcxODYxODAzIn0=</vt:lpwstr>
  </property>
  <property fmtid="{D5CDD505-2E9C-101B-9397-08002B2CF9AE}" pid="4" name="ICV">
    <vt:lpwstr>7CE8CEF9918641C986DD9443D2B19B6A_13</vt:lpwstr>
  </property>
</Properties>
</file>