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val="0"/>
        <w:topLinePunct w:val="0"/>
        <w:autoSpaceDE/>
        <w:autoSpaceDN/>
        <w:bidi w:val="0"/>
        <w:adjustRightInd/>
        <w:snapToGrid/>
        <w:spacing w:line="200" w:lineRule="atLeast"/>
        <w:jc w:val="left"/>
        <w:textAlignment w:val="auto"/>
        <w:rPr>
          <w:rFonts w:hint="eastAsia"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rPr>
        <w:t>附件</w:t>
      </w:r>
      <w:r>
        <w:rPr>
          <w:rFonts w:hint="eastAsia" w:ascii="Times New Roman" w:hAnsi="Times New Roman" w:eastAsia="方正仿宋简体" w:cs="Times New Roman"/>
          <w:b w:val="0"/>
          <w:bCs w:val="0"/>
          <w:color w:val="auto"/>
          <w:sz w:val="32"/>
          <w:szCs w:val="32"/>
          <w:lang w:val="en-US" w:eastAsia="zh-CN"/>
        </w:rPr>
        <w:t xml:space="preserve">2 </w:t>
      </w:r>
    </w:p>
    <w:p>
      <w:pPr>
        <w:keepNext w:val="0"/>
        <w:keepLines w:val="0"/>
        <w:pageBreakBefore w:val="0"/>
        <w:widowControl/>
        <w:shd w:val="clear" w:color="auto" w:fill="FFFFFF"/>
        <w:kinsoku/>
        <w:wordWrap/>
        <w:overflowPunct w:val="0"/>
        <w:topLinePunct w:val="0"/>
        <w:autoSpaceDE/>
        <w:autoSpaceDN/>
        <w:bidi w:val="0"/>
        <w:adjustRightInd/>
        <w:snapToGrid/>
        <w:spacing w:line="200" w:lineRule="atLeast"/>
        <w:jc w:val="center"/>
        <w:textAlignment w:val="auto"/>
        <w:rPr>
          <w:rFonts w:hint="eastAsia" w:ascii="方正小标宋_GBK" w:hAnsi="方正小标宋_GBK" w:eastAsia="方正小标宋_GBK" w:cs="方正小标宋_GBK"/>
          <w:color w:val="auto"/>
          <w:sz w:val="36"/>
          <w:szCs w:val="36"/>
        </w:rPr>
      </w:pPr>
      <w:bookmarkStart w:id="1" w:name="_GoBack"/>
      <w:r>
        <w:rPr>
          <w:rFonts w:hint="eastAsia" w:ascii="方正小标宋_GBK" w:hAnsi="方正小标宋_GBK" w:eastAsia="方正小标宋_GBK" w:cs="方正小标宋_GBK"/>
          <w:color w:val="auto"/>
          <w:sz w:val="36"/>
          <w:szCs w:val="36"/>
        </w:rPr>
        <w:t>宿迁产业发展集团有限公司申请入库</w:t>
      </w:r>
    </w:p>
    <w:p>
      <w:pPr>
        <w:keepNext w:val="0"/>
        <w:keepLines w:val="0"/>
        <w:pageBreakBefore w:val="0"/>
        <w:widowControl/>
        <w:shd w:val="clear" w:color="auto" w:fill="FFFFFF"/>
        <w:kinsoku/>
        <w:wordWrap/>
        <w:overflowPunct w:val="0"/>
        <w:topLinePunct w:val="0"/>
        <w:autoSpaceDE/>
        <w:autoSpaceDN/>
        <w:bidi w:val="0"/>
        <w:adjustRightInd/>
        <w:snapToGrid/>
        <w:spacing w:line="200" w:lineRule="atLeast"/>
        <w:jc w:val="center"/>
        <w:textAlignment w:val="auto"/>
        <w:rPr>
          <w:rFonts w:hint="eastAsia" w:ascii="Times New Roman" w:hAnsi="Times New Roman" w:eastAsia="方正仿宋简体" w:cs="Times New Roman"/>
          <w:b w:val="0"/>
          <w:bCs w:val="0"/>
          <w:color w:val="auto"/>
          <w:sz w:val="32"/>
          <w:szCs w:val="32"/>
          <w:lang w:val="en-US" w:eastAsia="zh-CN"/>
        </w:rPr>
      </w:pPr>
      <w:r>
        <w:rPr>
          <w:rFonts w:hint="eastAsia" w:ascii="方正小标宋_GBK" w:hAnsi="方正小标宋_GBK" w:eastAsia="方正小标宋_GBK" w:cs="方正小标宋_GBK"/>
          <w:color w:val="auto"/>
          <w:sz w:val="36"/>
          <w:szCs w:val="36"/>
          <w:lang w:val="en-US" w:eastAsia="zh-CN"/>
        </w:rPr>
        <w:t>律所基本情况表</w:t>
      </w:r>
    </w:p>
    <w:bookmarkEnd w:id="1"/>
    <w:tbl>
      <w:tblPr>
        <w:tblStyle w:val="2"/>
        <w:tblW w:w="12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803"/>
        <w:gridCol w:w="1759"/>
        <w:gridCol w:w="2009"/>
        <w:gridCol w:w="1035"/>
        <w:gridCol w:w="1455"/>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基本信息</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律所名称</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简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成立时间</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简体" w:cs="Times New Roman"/>
                <w:i w:val="0"/>
                <w:iCs w:val="0"/>
                <w:color w:val="auto"/>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负责人</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简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办公地址</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简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服务团队成员</w:t>
            </w:r>
          </w:p>
        </w:tc>
        <w:tc>
          <w:tcPr>
            <w:tcW w:w="51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简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96" w:type="dxa"/>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基本要求</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w:t>
            </w:r>
            <w:r>
              <w:rPr>
                <w:rStyle w:val="4"/>
                <w:rFonts w:hint="default" w:ascii="Times New Roman" w:hAnsi="Times New Roman" w:eastAsia="方正仿宋简体" w:cs="Times New Roman"/>
                <w:snapToGrid w:val="0"/>
                <w:color w:val="auto"/>
                <w:lang w:val="en-US" w:eastAsia="zh-CN" w:bidi="ar"/>
              </w:rPr>
              <w:t>律所须具备在宿迁市本地常态化开展法律服务的条件，具备满足本地服务需求的固定联络场所及响应机制，确保服务的及时性与专业性，请作简要说明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96"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2.</w:t>
            </w:r>
            <w:r>
              <w:rPr>
                <w:rStyle w:val="4"/>
                <w:rFonts w:hint="default" w:ascii="Times New Roman" w:hAnsi="Times New Roman" w:eastAsia="方正仿宋简体" w:cs="Times New Roman"/>
                <w:snapToGrid w:val="0"/>
                <w:color w:val="auto"/>
                <w:lang w:val="en-US" w:eastAsia="zh-CN" w:bidi="ar"/>
              </w:rPr>
              <w:t>服务团队执业律师具有市级机关、国有企业、金融机构法律顾问经验或具有相关单位的风险评审、代理诉讼等经验，请作简要说明并附证明材料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96"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3.</w:t>
            </w:r>
            <w:r>
              <w:rPr>
                <w:rStyle w:val="4"/>
                <w:rFonts w:hint="default" w:ascii="Times New Roman" w:hAnsi="Times New Roman" w:eastAsia="方正仿宋简体" w:cs="Times New Roman"/>
                <w:snapToGrid w:val="0"/>
                <w:color w:val="auto"/>
                <w:lang w:val="en-US" w:eastAsia="zh-CN" w:bidi="ar"/>
              </w:rPr>
              <w:t>服务团队执业机构经主管单位考核为合格，近</w:t>
            </w:r>
            <w:r>
              <w:rPr>
                <w:rStyle w:val="5"/>
                <w:rFonts w:hint="default" w:ascii="Times New Roman" w:hAnsi="Times New Roman" w:eastAsia="方正仿宋简体" w:cs="Times New Roman"/>
                <w:snapToGrid w:val="0"/>
                <w:color w:val="auto"/>
                <w:lang w:val="en-US" w:eastAsia="zh-CN" w:bidi="ar"/>
              </w:rPr>
              <w:t>3</w:t>
            </w:r>
            <w:r>
              <w:rPr>
                <w:rStyle w:val="4"/>
                <w:rFonts w:hint="default" w:ascii="Times New Roman" w:hAnsi="Times New Roman" w:eastAsia="方正仿宋简体" w:cs="Times New Roman"/>
                <w:snapToGrid w:val="0"/>
                <w:color w:val="auto"/>
                <w:lang w:val="en-US" w:eastAsia="zh-CN" w:bidi="ar"/>
              </w:rPr>
              <w:t>年内未受过行业或主管部门处罚，请作简要说明并附证明材料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96"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4.</w:t>
            </w:r>
            <w:r>
              <w:rPr>
                <w:rStyle w:val="4"/>
                <w:rFonts w:hint="default" w:ascii="Times New Roman" w:hAnsi="Times New Roman" w:eastAsia="方正仿宋简体" w:cs="Times New Roman"/>
                <w:snapToGrid w:val="0"/>
                <w:color w:val="auto"/>
                <w:lang w:val="en-US" w:eastAsia="zh-CN" w:bidi="ar"/>
              </w:rPr>
              <w:t>服务团队内执业律师未受过行业或主管部门处罚，无违法违规记录，历年执业考核结果为称职，请作简要说明并附证明材料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96" w:type="dxa"/>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5.</w:t>
            </w:r>
            <w:r>
              <w:rPr>
                <w:rStyle w:val="4"/>
                <w:rFonts w:hint="default" w:ascii="Times New Roman" w:hAnsi="Times New Roman" w:eastAsia="方正仿宋简体" w:cs="Times New Roman"/>
                <w:snapToGrid w:val="0"/>
                <w:color w:val="auto"/>
                <w:lang w:val="en-US" w:eastAsia="zh-CN" w:bidi="ar"/>
              </w:rPr>
              <w:t>服务团队内执业律师需熟悉国家法律、行政法规及对国有企业相关监管规定，并具有代理民商事案件的经验，请作简要说明并附证明材料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顾问费用</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6.</w:t>
            </w:r>
            <w:r>
              <w:rPr>
                <w:rStyle w:val="4"/>
                <w:rFonts w:hint="default" w:ascii="Times New Roman" w:hAnsi="Times New Roman" w:eastAsia="方正仿宋简体" w:cs="Times New Roman"/>
                <w:snapToGrid w:val="0"/>
                <w:color w:val="auto"/>
                <w:lang w:val="en-US" w:eastAsia="zh-CN" w:bidi="ar"/>
              </w:rPr>
              <w:t>我单位自愿报名参加宿迁产业发展集团有限公司法律顾问服务库遴选，我单位愿意在贵单位发布的各遴选单元最高限价的基础上下浮</w:t>
            </w:r>
            <w:r>
              <w:rPr>
                <w:rStyle w:val="6"/>
                <w:rFonts w:hint="default" w:ascii="Times New Roman" w:hAnsi="Times New Roman" w:eastAsia="方正仿宋简体" w:cs="Times New Roman"/>
                <w:snapToGrid w:val="0"/>
                <w:color w:val="auto"/>
                <w:u w:val="single"/>
                <w:lang w:val="en-US" w:eastAsia="zh-CN" w:bidi="ar"/>
              </w:rPr>
              <w:t xml:space="preserve">       </w:t>
            </w:r>
            <w:r>
              <w:rPr>
                <w:rStyle w:val="6"/>
                <w:rFonts w:hint="default" w:ascii="Times New Roman" w:hAnsi="Times New Roman" w:eastAsia="方正仿宋简体" w:cs="Times New Roman"/>
                <w:snapToGrid w:val="0"/>
                <w:color w:val="auto"/>
                <w:lang w:val="en-US" w:eastAsia="zh-CN" w:bidi="ar"/>
              </w:rPr>
              <w:t>%</w:t>
            </w:r>
            <w:r>
              <w:rPr>
                <w:rStyle w:val="4"/>
                <w:rFonts w:hint="default" w:ascii="Times New Roman" w:hAnsi="Times New Roman" w:eastAsia="方正仿宋简体" w:cs="Times New Roman"/>
                <w:snapToGrid w:val="0"/>
                <w:color w:val="auto"/>
                <w:lang w:val="en-US" w:eastAsia="zh-CN" w:bidi="ar"/>
              </w:rPr>
              <w:t>作为报价，若我单位最终入库，该下浮比例作为我单位签订法律服务合同的价格依据。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专业能力</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7.</w:t>
            </w:r>
            <w:r>
              <w:rPr>
                <w:rStyle w:val="4"/>
                <w:rFonts w:hint="default" w:ascii="Times New Roman" w:hAnsi="Times New Roman" w:eastAsia="方正仿宋简体" w:cs="Times New Roman"/>
                <w:snapToGrid w:val="0"/>
                <w:color w:val="auto"/>
                <w:lang w:val="en-US" w:eastAsia="zh-CN" w:bidi="ar"/>
              </w:rPr>
              <w:t>律师事务所担任市属国有独资或国有控股公司法律顾问单位，最多列举五家（需提供法律顾问合同等证明文件）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8.</w:t>
            </w:r>
            <w:r>
              <w:rPr>
                <w:rStyle w:val="4"/>
                <w:rFonts w:hint="default" w:ascii="Times New Roman" w:hAnsi="Times New Roman" w:eastAsia="方正仿宋简体" w:cs="Times New Roman"/>
                <w:snapToGrid w:val="0"/>
                <w:color w:val="auto"/>
                <w:lang w:val="en-US" w:eastAsia="zh-CN" w:bidi="ar"/>
              </w:rPr>
              <w:t>律所注册地在宿迁或在宿迁设有分支机构（如有则提供证明材料，无则不提供）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9.</w:t>
            </w:r>
            <w:r>
              <w:rPr>
                <w:rStyle w:val="4"/>
                <w:rFonts w:hint="default" w:ascii="Times New Roman" w:hAnsi="Times New Roman" w:eastAsia="方正仿宋简体" w:cs="Times New Roman"/>
                <w:snapToGrid w:val="0"/>
                <w:color w:val="auto"/>
                <w:lang w:val="en-US" w:eastAsia="zh-CN" w:bidi="ar"/>
              </w:rPr>
              <w:t>团队负责人有</w:t>
            </w:r>
            <w:r>
              <w:rPr>
                <w:rStyle w:val="5"/>
                <w:rFonts w:hint="default" w:ascii="Times New Roman" w:hAnsi="Times New Roman" w:eastAsia="方正仿宋简体" w:cs="Times New Roman"/>
                <w:snapToGrid w:val="0"/>
                <w:color w:val="auto"/>
                <w:lang w:val="en-US" w:eastAsia="zh-CN" w:bidi="ar"/>
              </w:rPr>
              <w:t>10</w:t>
            </w:r>
            <w:r>
              <w:rPr>
                <w:rStyle w:val="4"/>
                <w:rFonts w:hint="default" w:ascii="Times New Roman" w:hAnsi="Times New Roman" w:eastAsia="方正仿宋简体" w:cs="Times New Roman"/>
                <w:snapToGrid w:val="0"/>
                <w:color w:val="auto"/>
                <w:lang w:val="en-US" w:eastAsia="zh-CN" w:bidi="ar"/>
              </w:rPr>
              <w:t>年以上的民商事诉讼经验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10.</w:t>
            </w:r>
            <w:r>
              <w:rPr>
                <w:rStyle w:val="4"/>
                <w:rFonts w:hint="default" w:ascii="Times New Roman" w:hAnsi="Times New Roman" w:eastAsia="方正仿宋简体" w:cs="Times New Roman"/>
                <w:snapToGrid w:val="0"/>
                <w:color w:val="auto"/>
                <w:lang w:val="en-US" w:eastAsia="zh-CN" w:bidi="ar"/>
              </w:rPr>
              <w:t>团队至少有</w:t>
            </w:r>
            <w:r>
              <w:rPr>
                <w:rStyle w:val="5"/>
                <w:rFonts w:hint="default" w:ascii="Times New Roman" w:hAnsi="Times New Roman" w:eastAsia="方正仿宋简体" w:cs="Times New Roman"/>
                <w:snapToGrid w:val="0"/>
                <w:color w:val="auto"/>
                <w:lang w:val="en-US" w:eastAsia="zh-CN" w:bidi="ar"/>
              </w:rPr>
              <w:t>2</w:t>
            </w:r>
            <w:r>
              <w:rPr>
                <w:rStyle w:val="4"/>
                <w:rFonts w:hint="default" w:ascii="Times New Roman" w:hAnsi="Times New Roman" w:eastAsia="方正仿宋简体" w:cs="Times New Roman"/>
                <w:snapToGrid w:val="0"/>
                <w:color w:val="auto"/>
                <w:lang w:val="en-US" w:eastAsia="zh-CN" w:bidi="ar"/>
              </w:rPr>
              <w:t>名成员执业经验满</w:t>
            </w:r>
            <w:r>
              <w:rPr>
                <w:rStyle w:val="5"/>
                <w:rFonts w:hint="default" w:ascii="Times New Roman" w:hAnsi="Times New Roman" w:eastAsia="方正仿宋简体" w:cs="Times New Roman"/>
                <w:snapToGrid w:val="0"/>
                <w:color w:val="auto"/>
                <w:lang w:val="en-US" w:eastAsia="zh-CN" w:bidi="ar"/>
              </w:rPr>
              <w:t>5</w:t>
            </w:r>
            <w:r>
              <w:rPr>
                <w:rStyle w:val="4"/>
                <w:rFonts w:hint="default" w:ascii="Times New Roman" w:hAnsi="Times New Roman" w:eastAsia="方正仿宋简体" w:cs="Times New Roman"/>
                <w:snapToGrid w:val="0"/>
                <w:color w:val="auto"/>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11.</w:t>
            </w:r>
            <w:r>
              <w:rPr>
                <w:rStyle w:val="4"/>
                <w:rFonts w:hint="default" w:ascii="Times New Roman" w:hAnsi="Times New Roman" w:eastAsia="方正仿宋简体" w:cs="Times New Roman"/>
                <w:snapToGrid w:val="0"/>
                <w:color w:val="auto"/>
                <w:lang w:val="en-US" w:eastAsia="zh-CN" w:bidi="ar"/>
              </w:rPr>
              <w:t>有标准化服务流程（如案件对接、进度反馈、质量复核等），如有需附证明材料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12.</w:t>
            </w:r>
            <w:r>
              <w:rPr>
                <w:rStyle w:val="4"/>
                <w:rFonts w:hint="default" w:ascii="Times New Roman" w:hAnsi="Times New Roman" w:eastAsia="方正仿宋简体" w:cs="Times New Roman"/>
                <w:snapToGrid w:val="0"/>
                <w:color w:val="auto"/>
                <w:lang w:val="en-US" w:eastAsia="zh-CN" w:bidi="ar"/>
              </w:rPr>
              <w:t>团队稳定且分工明确，内部管理制度完善，如有需附证明材料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从业经验与业绩</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13.</w:t>
            </w:r>
            <w:r>
              <w:rPr>
                <w:rStyle w:val="4"/>
                <w:rFonts w:hint="default" w:ascii="Times New Roman" w:hAnsi="Times New Roman" w:eastAsia="方正仿宋简体" w:cs="Times New Roman"/>
                <w:snapToGrid w:val="0"/>
                <w:color w:val="auto"/>
                <w:lang w:val="en-US" w:eastAsia="zh-CN" w:bidi="ar"/>
              </w:rPr>
              <w:t>团队成员近</w:t>
            </w:r>
            <w:r>
              <w:rPr>
                <w:rStyle w:val="5"/>
                <w:rFonts w:hint="default" w:ascii="Times New Roman" w:hAnsi="Times New Roman" w:eastAsia="方正仿宋简体" w:cs="Times New Roman"/>
                <w:snapToGrid w:val="0"/>
                <w:color w:val="auto"/>
                <w:lang w:val="en-US" w:eastAsia="zh-CN" w:bidi="ar"/>
              </w:rPr>
              <w:t>3</w:t>
            </w:r>
            <w:r>
              <w:rPr>
                <w:rStyle w:val="4"/>
                <w:rFonts w:hint="default" w:ascii="Times New Roman" w:hAnsi="Times New Roman" w:eastAsia="方正仿宋简体" w:cs="Times New Roman"/>
                <w:snapToGrid w:val="0"/>
                <w:color w:val="auto"/>
                <w:lang w:val="en-US" w:eastAsia="zh-CN" w:bidi="ar"/>
              </w:rPr>
              <w:t>年代理与集团核心业务相关（如金融相关的合同纠纷、知识产权、劳动仲裁）的标的</w:t>
            </w:r>
            <w:r>
              <w:rPr>
                <w:rStyle w:val="5"/>
                <w:rFonts w:hint="default" w:ascii="Times New Roman" w:hAnsi="Times New Roman" w:eastAsia="方正仿宋简体" w:cs="Times New Roman"/>
                <w:snapToGrid w:val="0"/>
                <w:color w:val="auto"/>
                <w:lang w:val="en-US" w:eastAsia="zh-CN" w:bidi="ar"/>
              </w:rPr>
              <w:t>≥2000</w:t>
            </w:r>
            <w:r>
              <w:rPr>
                <w:rStyle w:val="4"/>
                <w:rFonts w:hint="default" w:ascii="Times New Roman" w:hAnsi="Times New Roman" w:eastAsia="方正仿宋简体" w:cs="Times New Roman"/>
                <w:snapToGrid w:val="0"/>
                <w:color w:val="auto"/>
                <w:lang w:val="en-US" w:eastAsia="zh-CN" w:bidi="ar"/>
              </w:rPr>
              <w:t>万胜诉案件，最多列举</w:t>
            </w:r>
            <w:r>
              <w:rPr>
                <w:rStyle w:val="5"/>
                <w:rFonts w:hint="default" w:ascii="Times New Roman" w:hAnsi="Times New Roman" w:eastAsia="方正仿宋简体" w:cs="Times New Roman"/>
                <w:snapToGrid w:val="0"/>
                <w:color w:val="auto"/>
                <w:lang w:val="en-US" w:eastAsia="zh-CN" w:bidi="ar"/>
              </w:rPr>
              <w:t>10</w:t>
            </w:r>
            <w:r>
              <w:rPr>
                <w:rStyle w:val="4"/>
                <w:rFonts w:hint="default" w:ascii="Times New Roman" w:hAnsi="Times New Roman" w:eastAsia="方正仿宋简体" w:cs="Times New Roman"/>
                <w:snapToGrid w:val="0"/>
                <w:color w:val="auto"/>
                <w:lang w:val="en-US" w:eastAsia="zh-CN" w:bidi="ar"/>
              </w:rPr>
              <w:t>个，需附裁判文书关键页等证明材料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14.</w:t>
            </w:r>
            <w:r>
              <w:rPr>
                <w:rStyle w:val="4"/>
                <w:rFonts w:hint="default" w:ascii="Times New Roman" w:hAnsi="Times New Roman" w:eastAsia="方正仿宋简体" w:cs="Times New Roman"/>
                <w:snapToGrid w:val="0"/>
                <w:color w:val="auto"/>
                <w:lang w:val="en-US" w:eastAsia="zh-CN" w:bidi="ar"/>
              </w:rPr>
              <w:t>律师事务所当前具有交易商协会会员、上海证券交易所发行债券资质等经历，如有需附证明材料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15.</w:t>
            </w:r>
            <w:r>
              <w:rPr>
                <w:rStyle w:val="4"/>
                <w:rFonts w:hint="default" w:ascii="Times New Roman" w:hAnsi="Times New Roman" w:eastAsia="方正仿宋简体" w:cs="Times New Roman"/>
                <w:snapToGrid w:val="0"/>
                <w:color w:val="auto"/>
                <w:lang w:val="en-US" w:eastAsia="zh-CN" w:bidi="ar"/>
              </w:rPr>
              <w:t>团队成员近</w:t>
            </w:r>
            <w:r>
              <w:rPr>
                <w:rStyle w:val="5"/>
                <w:rFonts w:hint="default" w:ascii="Times New Roman" w:hAnsi="Times New Roman" w:eastAsia="方正仿宋简体" w:cs="Times New Roman"/>
                <w:snapToGrid w:val="0"/>
                <w:color w:val="auto"/>
                <w:lang w:val="en-US" w:eastAsia="zh-CN" w:bidi="ar"/>
              </w:rPr>
              <w:t>3</w:t>
            </w:r>
            <w:r>
              <w:rPr>
                <w:rStyle w:val="4"/>
                <w:rFonts w:hint="default" w:ascii="Times New Roman" w:hAnsi="Times New Roman" w:eastAsia="方正仿宋简体" w:cs="Times New Roman"/>
                <w:snapToGrid w:val="0"/>
                <w:color w:val="auto"/>
                <w:lang w:val="en-US" w:eastAsia="zh-CN" w:bidi="ar"/>
              </w:rPr>
              <w:t>年获省级及以上司法行政部门</w:t>
            </w:r>
            <w:r>
              <w:rPr>
                <w:rStyle w:val="5"/>
                <w:rFonts w:hint="default" w:ascii="Times New Roman" w:hAnsi="Times New Roman" w:eastAsia="方正仿宋简体" w:cs="Times New Roman"/>
                <w:snapToGrid w:val="0"/>
                <w:color w:val="auto"/>
                <w:lang w:val="en-US" w:eastAsia="zh-CN" w:bidi="ar"/>
              </w:rPr>
              <w:t>/</w:t>
            </w:r>
            <w:r>
              <w:rPr>
                <w:rStyle w:val="4"/>
                <w:rFonts w:hint="default" w:ascii="Times New Roman" w:hAnsi="Times New Roman" w:eastAsia="方正仿宋简体" w:cs="Times New Roman"/>
                <w:snapToGrid w:val="0"/>
                <w:color w:val="auto"/>
                <w:lang w:val="en-US" w:eastAsia="zh-CN" w:bidi="ar"/>
              </w:rPr>
              <w:t>律师协会表彰（如优秀律师），最多列举</w:t>
            </w:r>
            <w:r>
              <w:rPr>
                <w:rStyle w:val="5"/>
                <w:rFonts w:hint="default" w:ascii="Times New Roman" w:hAnsi="Times New Roman" w:eastAsia="方正仿宋简体" w:cs="Times New Roman"/>
                <w:snapToGrid w:val="0"/>
                <w:color w:val="auto"/>
                <w:lang w:val="en-US" w:eastAsia="zh-CN" w:bidi="ar"/>
              </w:rPr>
              <w:t>2</w:t>
            </w:r>
            <w:r>
              <w:rPr>
                <w:rStyle w:val="4"/>
                <w:rFonts w:hint="default" w:ascii="Times New Roman" w:hAnsi="Times New Roman" w:eastAsia="方正仿宋简体" w:cs="Times New Roman"/>
                <w:snapToGrid w:val="0"/>
                <w:color w:val="auto"/>
                <w:lang w:val="en-US" w:eastAsia="zh-CN" w:bidi="ar"/>
              </w:rPr>
              <w:t>个，如有需附证明材料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16.</w:t>
            </w:r>
            <w:r>
              <w:rPr>
                <w:rStyle w:val="4"/>
                <w:rFonts w:hint="default" w:ascii="Times New Roman" w:hAnsi="Times New Roman" w:eastAsia="方正仿宋简体" w:cs="Times New Roman"/>
                <w:snapToGrid w:val="0"/>
                <w:color w:val="auto"/>
                <w:lang w:val="en-US" w:eastAsia="zh-CN" w:bidi="ar"/>
              </w:rPr>
              <w:t>服务团队人员其他人员（除团队负责人外）具有</w:t>
            </w:r>
            <w:r>
              <w:rPr>
                <w:rStyle w:val="5"/>
                <w:rFonts w:hint="default" w:ascii="Times New Roman" w:hAnsi="Times New Roman" w:eastAsia="方正仿宋简体" w:cs="Times New Roman"/>
                <w:snapToGrid w:val="0"/>
                <w:color w:val="auto"/>
                <w:lang w:val="en-US" w:eastAsia="zh-CN" w:bidi="ar"/>
              </w:rPr>
              <w:t>10</w:t>
            </w:r>
            <w:r>
              <w:rPr>
                <w:rStyle w:val="4"/>
                <w:rFonts w:hint="default" w:ascii="Times New Roman" w:hAnsi="Times New Roman" w:eastAsia="方正仿宋简体" w:cs="Times New Roman"/>
                <w:snapToGrid w:val="0"/>
                <w:color w:val="auto"/>
                <w:lang w:val="en-US" w:eastAsia="zh-CN" w:bidi="ar"/>
              </w:rPr>
              <w:t>年以上执业经验的，最多列举</w:t>
            </w:r>
            <w:r>
              <w:rPr>
                <w:rStyle w:val="5"/>
                <w:rFonts w:hint="default" w:ascii="Times New Roman" w:hAnsi="Times New Roman" w:eastAsia="方正仿宋简体" w:cs="Times New Roman"/>
                <w:snapToGrid w:val="0"/>
                <w:color w:val="auto"/>
                <w:lang w:val="en-US" w:eastAsia="zh-CN" w:bidi="ar"/>
              </w:rPr>
              <w:t>3</w:t>
            </w:r>
            <w:r>
              <w:rPr>
                <w:rStyle w:val="4"/>
                <w:rFonts w:hint="default" w:ascii="Times New Roman" w:hAnsi="Times New Roman" w:eastAsia="方正仿宋简体" w:cs="Times New Roman"/>
                <w:snapToGrid w:val="0"/>
                <w:color w:val="auto"/>
                <w:lang w:val="en-US" w:eastAsia="zh-CN" w:bidi="ar"/>
              </w:rPr>
              <w:t>个，需附证明材料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17.</w:t>
            </w:r>
            <w:r>
              <w:rPr>
                <w:rStyle w:val="4"/>
                <w:rFonts w:hint="default" w:ascii="Times New Roman" w:hAnsi="Times New Roman" w:eastAsia="方正仿宋简体" w:cs="Times New Roman"/>
                <w:snapToGrid w:val="0"/>
                <w:color w:val="auto"/>
                <w:lang w:val="en-US" w:eastAsia="zh-CN" w:bidi="ar"/>
              </w:rPr>
              <w:t>服务团队所在律师事务所在宿迁中院破产管理人名录内且具有三级及以上管理人资质的，需附证明材料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18.</w:t>
            </w:r>
            <w:r>
              <w:rPr>
                <w:rStyle w:val="4"/>
                <w:rFonts w:hint="default" w:ascii="Times New Roman" w:hAnsi="Times New Roman" w:eastAsia="方正仿宋简体" w:cs="Times New Roman"/>
                <w:snapToGrid w:val="0"/>
                <w:color w:val="auto"/>
                <w:lang w:val="en-US" w:eastAsia="zh-CN" w:bidi="ar"/>
              </w:rPr>
              <w:t>服务团队负责人或成员为集团风险会专家委员，参加会议意愿高，能够提供有效专业意见的，请作简要说明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19.</w:t>
            </w:r>
            <w:r>
              <w:rPr>
                <w:rStyle w:val="4"/>
                <w:rFonts w:hint="default" w:ascii="Times New Roman" w:hAnsi="Times New Roman" w:eastAsia="方正仿宋简体" w:cs="Times New Roman"/>
                <w:snapToGrid w:val="0"/>
                <w:color w:val="auto"/>
                <w:lang w:val="en-US" w:eastAsia="zh-CN" w:bidi="ar"/>
              </w:rPr>
              <w:t>服务团队负责人或成员在集团及子公司处理诉讼案件或不良化解时曾给予过积极帮助或主动配合的，请作简要说明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Style w:val="4"/>
                <w:rFonts w:hint="default" w:ascii="Times New Roman" w:hAnsi="Times New Roman" w:eastAsia="方正仿宋简体" w:cs="Times New Roman"/>
                <w:snapToGrid w:val="0"/>
                <w:color w:val="auto"/>
                <w:lang w:val="en-US" w:eastAsia="zh-CN" w:bidi="ar"/>
              </w:rPr>
              <w:t>服务方案</w:t>
            </w: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20.</w:t>
            </w:r>
            <w:r>
              <w:rPr>
                <w:rStyle w:val="4"/>
                <w:rFonts w:hint="default" w:ascii="Times New Roman" w:hAnsi="Times New Roman" w:eastAsia="方正仿宋简体" w:cs="Times New Roman"/>
                <w:snapToGrid w:val="0"/>
                <w:color w:val="auto"/>
                <w:lang w:val="en-US" w:eastAsia="zh-CN" w:bidi="ar"/>
              </w:rPr>
              <w:t>能够根据公司业务特点合理设置专项服务方案，需附方案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方正仿宋简体" w:cs="Times New Roman"/>
                <w:i w:val="0"/>
                <w:iCs w:val="0"/>
                <w:color w:val="auto"/>
                <w:sz w:val="24"/>
                <w:szCs w:val="24"/>
                <w:u w:val="none"/>
              </w:rPr>
            </w:pPr>
          </w:p>
        </w:tc>
        <w:tc>
          <w:tcPr>
            <w:tcW w:w="6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auto"/>
                <w:sz w:val="24"/>
                <w:szCs w:val="24"/>
                <w:u w:val="none"/>
              </w:rPr>
            </w:pPr>
            <w:r>
              <w:rPr>
                <w:rFonts w:hint="default" w:ascii="Times New Roman" w:hAnsi="Times New Roman" w:eastAsia="方正仿宋简体" w:cs="Times New Roman"/>
                <w:i w:val="0"/>
                <w:iCs w:val="0"/>
                <w:snapToGrid w:val="0"/>
                <w:color w:val="auto"/>
                <w:kern w:val="0"/>
                <w:sz w:val="24"/>
                <w:szCs w:val="24"/>
                <w:u w:val="none"/>
                <w:lang w:val="en-US" w:eastAsia="zh-CN" w:bidi="ar"/>
              </w:rPr>
              <w:t>21.</w:t>
            </w:r>
            <w:r>
              <w:rPr>
                <w:rStyle w:val="4"/>
                <w:rFonts w:hint="default" w:ascii="Times New Roman" w:hAnsi="Times New Roman" w:eastAsia="方正仿宋简体" w:cs="Times New Roman"/>
                <w:snapToGrid w:val="0"/>
                <w:color w:val="auto"/>
                <w:lang w:val="en-US" w:eastAsia="zh-CN" w:bidi="ar"/>
              </w:rPr>
              <w:t>能够合理安排并无条件配合公司法律案件及案件相关咨询服务，附承诺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684" w:type="dxa"/>
          <w:trHeight w:val="315" w:hRule="atLeast"/>
        </w:trPr>
        <w:tc>
          <w:tcPr>
            <w:tcW w:w="8061"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bookmarkStart w:id="0" w:name="OLE_LINK4"/>
            <w:r>
              <w:rPr>
                <w:rFonts w:hint="eastAsia" w:ascii="宋体" w:hAnsi="宋体" w:eastAsia="宋体" w:cs="宋体"/>
                <w:i w:val="0"/>
                <w:iCs w:val="0"/>
                <w:snapToGrid w:val="0"/>
                <w:color w:val="auto"/>
                <w:kern w:val="0"/>
                <w:sz w:val="24"/>
                <w:szCs w:val="24"/>
                <w:u w:val="none"/>
                <w:lang w:val="en-US" w:eastAsia="zh-CN" w:bidi="ar"/>
              </w:rPr>
              <w:t>注：本表只需填写基本信息和顾问费用里的下浮率，其余内容请单独提交</w:t>
            </w:r>
          </w:p>
        </w:tc>
      </w:tr>
    </w:tbl>
    <w:p>
      <w:pPr>
        <w:keepNext w:val="0"/>
        <w:keepLines w:val="0"/>
        <w:pageBreakBefore w:val="0"/>
        <w:widowControl/>
        <w:shd w:val="clear" w:color="auto" w:fill="FFFFFF"/>
        <w:kinsoku/>
        <w:wordWrap/>
        <w:overflowPunct w:val="0"/>
        <w:topLinePunct w:val="0"/>
        <w:autoSpaceDE/>
        <w:autoSpaceDN/>
        <w:bidi w:val="0"/>
        <w:adjustRightInd/>
        <w:snapToGrid/>
        <w:spacing w:line="200" w:lineRule="atLeast"/>
        <w:jc w:val="center"/>
        <w:textAlignment w:val="auto"/>
        <w:rPr>
          <w:rFonts w:hint="default" w:ascii="方正小标宋_GBK" w:hAnsi="方正小标宋_GBK" w:eastAsia="方正小标宋_GBK" w:cs="方正小标宋_GBK"/>
          <w:b/>
          <w:bCs/>
          <w:color w:val="auto"/>
          <w:kern w:val="0"/>
          <w:sz w:val="36"/>
          <w:szCs w:val="36"/>
          <w:shd w:val="clear" w:color="auto" w:fill="FFFFFF"/>
          <w:lang w:val="en-US" w:eastAsia="zh-CN"/>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73E97"/>
    <w:rsid w:val="3340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4"/>
      <w:szCs w:val="24"/>
      <w:u w:val="none"/>
    </w:rPr>
  </w:style>
  <w:style w:type="character" w:customStyle="1" w:styleId="5">
    <w:name w:val="font11"/>
    <w:basedOn w:val="3"/>
    <w:qFormat/>
    <w:uiPriority w:val="0"/>
    <w:rPr>
      <w:rFonts w:hint="default" w:ascii="Times New Roman" w:hAnsi="Times New Roman" w:cs="Times New Roman"/>
      <w:color w:val="000000"/>
      <w:sz w:val="24"/>
      <w:szCs w:val="24"/>
      <w:u w:val="none"/>
    </w:rPr>
  </w:style>
  <w:style w:type="character" w:customStyle="1" w:styleId="6">
    <w:name w:val="font3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2025-09-09T08:50:00Z</dcterms:created>
  <dc:creator>lenovo</dc:creator>
  <cp:lastModifiedBy>集团办公室周娜</cp:lastModifiedBy>
  <dcterms:modified xsi:type="dcterms:W3CDTF">2025-09-10T07:00:20Z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eyJoZGlkIjoiZTM2NzcyNWFmNDg5OTAwYzJlNThjODcyYTRiZmI3NDciLCJ1c2VySWQiOiIxNTcxODYxODAzIn0=</vt:lpwstr>
  </property>
  <property fmtid="{D5CDD505-2E9C-101B-9397-08002B2CF9AE}" pid="4" name="ICV">
    <vt:lpwstr>EA225E8C56D2441AA0E3E2144AF84323_13</vt:lpwstr>
  </property>
</Properties>
</file>