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E534C">
      <w:pPr>
        <w:kinsoku/>
        <w:autoSpaceDE/>
        <w:autoSpaceDN/>
        <w:spacing w:before="120" w:beforeLines="50" w:after="120" w:afterLines="50" w:line="560" w:lineRule="exact"/>
        <w:ind w:right="91" w:firstLine="640" w:firstLineChars="200"/>
        <w:jc w:val="both"/>
        <w:textAlignment w:val="auto"/>
        <w:rPr>
          <w:rFonts w:ascii="Times New Roman" w:hAnsi="Times New Roman" w:eastAsia="方正黑体简体" w:cs="Times New Roman"/>
          <w:snapToGrid/>
          <w:kern w:val="2"/>
          <w:sz w:val="32"/>
          <w:szCs w:val="32"/>
          <w:lang w:eastAsia="zh-CN"/>
        </w:rPr>
      </w:pPr>
      <w:bookmarkStart w:id="3" w:name="_GoBack"/>
      <w:r>
        <w:rPr>
          <w:rFonts w:hint="eastAsia" w:ascii="Times New Roman" w:hAnsi="Times New Roman" w:eastAsia="方正黑体简体" w:cs="Times New Roman"/>
          <w:snapToGrid/>
          <w:kern w:val="2"/>
          <w:sz w:val="32"/>
          <w:szCs w:val="32"/>
          <w:lang w:eastAsia="zh-CN"/>
        </w:rPr>
        <w:t>附件：服务方案说明</w:t>
      </w:r>
    </w:p>
    <w:bookmarkEnd w:id="3"/>
    <w:p w14:paraId="0D0B18D8">
      <w:pPr>
        <w:pStyle w:val="2"/>
        <w:numPr>
          <w:ilvl w:val="0"/>
          <w:numId w:val="1"/>
        </w:numPr>
        <w:spacing w:before="120" w:beforeLines="50" w:after="120" w:afterLines="50" w:line="560" w:lineRule="exact"/>
        <w:ind w:right="91" w:firstLine="723" w:firstLineChars="200"/>
        <w:jc w:val="both"/>
        <w:rPr>
          <w:rFonts w:hint="eastAsia" w:ascii="Times New Roman" w:hAnsi="Times New Roman" w:eastAsia="方正仿宋简体" w:cs="Times New Roman"/>
          <w:b/>
          <w:bCs/>
          <w:spacing w:val="20"/>
          <w:sz w:val="32"/>
          <w:szCs w:val="32"/>
          <w:lang w:eastAsia="zh-CN"/>
        </w:rPr>
      </w:pPr>
      <w:r>
        <w:rPr>
          <w:rFonts w:hint="eastAsia" w:ascii="Times New Roman" w:hAnsi="Times New Roman" w:eastAsia="方正仿宋简体" w:cs="Times New Roman"/>
          <w:b/>
          <w:bCs/>
          <w:spacing w:val="20"/>
          <w:sz w:val="32"/>
          <w:szCs w:val="32"/>
          <w:lang w:eastAsia="zh-CN"/>
        </w:rPr>
        <w:t>服务方案需标页码并加盖单位公章，同时将扫描件发送至我司邮箱（sqcfztb@163.com）。服务方案中的内容视为参与机构对本项目的服务承诺(若承销商未完成承诺或因其自身原因导致本单资产支持证券项目注册及发行延期，未来36个月内不得参加比选)。</w:t>
      </w:r>
    </w:p>
    <w:p w14:paraId="02CC9FEB">
      <w:pPr>
        <w:pStyle w:val="2"/>
        <w:numPr>
          <w:ilvl w:val="0"/>
          <w:numId w:val="1"/>
        </w:numPr>
        <w:spacing w:before="120" w:beforeLines="50" w:after="120" w:afterLines="50" w:line="560" w:lineRule="exact"/>
        <w:ind w:right="91" w:firstLine="727" w:firstLineChars="200"/>
        <w:jc w:val="both"/>
        <w:rPr>
          <w:rFonts w:hint="eastAsia" w:ascii="Times New Roman" w:hAnsi="Times New Roman" w:eastAsia="方正仿宋简体" w:cs="Times New Roman"/>
          <w:b/>
          <w:bCs/>
          <w:spacing w:val="20"/>
          <w:sz w:val="32"/>
          <w:szCs w:val="32"/>
          <w:lang w:eastAsia="zh-CN"/>
        </w:rPr>
      </w:pPr>
      <w:r>
        <w:rPr>
          <w:rFonts w:hint="eastAsia" w:ascii="Times New Roman" w:hAnsi="Times New Roman" w:eastAsia="方正仿宋简体" w:cs="Times New Roman"/>
          <w:b/>
          <w:bCs/>
          <w:spacing w:val="21"/>
          <w:sz w:val="32"/>
          <w:szCs w:val="32"/>
          <w:lang w:eastAsia="zh-CN"/>
        </w:rPr>
        <w:t>服</w:t>
      </w:r>
      <w:r>
        <w:rPr>
          <w:rFonts w:hint="eastAsia" w:ascii="Times New Roman" w:hAnsi="Times New Roman" w:eastAsia="方正仿宋简体" w:cs="Times New Roman"/>
          <w:b/>
          <w:bCs/>
          <w:spacing w:val="20"/>
          <w:sz w:val="32"/>
          <w:szCs w:val="32"/>
          <w:lang w:eastAsia="zh-CN"/>
        </w:rPr>
        <w:t>务方案以简明扼要为宜，需包括以下内容：</w:t>
      </w:r>
    </w:p>
    <w:p w14:paraId="722F6B10">
      <w:pPr>
        <w:pStyle w:val="2"/>
        <w:numPr>
          <w:ilvl w:val="0"/>
          <w:numId w:val="2"/>
        </w:numPr>
        <w:spacing w:before="120" w:beforeLines="50" w:after="120" w:afterLines="50" w:line="560" w:lineRule="exact"/>
        <w:ind w:right="91" w:firstLine="640" w:firstLineChars="200"/>
        <w:outlineLvl w:val="1"/>
        <w:rPr>
          <w:rFonts w:ascii="Times New Roman" w:hAnsi="Times New Roman" w:eastAsia="方正黑体简体" w:cs="Times New Roman"/>
          <w:snapToGrid/>
          <w:kern w:val="2"/>
          <w:sz w:val="32"/>
          <w:szCs w:val="32"/>
          <w:lang w:eastAsia="zh-CN"/>
        </w:rPr>
      </w:pPr>
      <w:r>
        <w:rPr>
          <w:rFonts w:hint="eastAsia" w:ascii="Times New Roman" w:hAnsi="Times New Roman" w:eastAsia="方正黑体简体" w:cs="Times New Roman"/>
          <w:snapToGrid/>
          <w:kern w:val="2"/>
          <w:sz w:val="32"/>
          <w:szCs w:val="32"/>
          <w:lang w:eastAsia="zh-CN"/>
        </w:rPr>
        <w:t>综合费率</w:t>
      </w:r>
    </w:p>
    <w:p w14:paraId="7EDFF826">
      <w:pPr>
        <w:pStyle w:val="2"/>
        <w:spacing w:before="120" w:beforeLines="50" w:after="120" w:afterLines="50" w:line="560" w:lineRule="exact"/>
        <w:ind w:left="420" w:leftChars="200" w:right="91" w:firstLine="692" w:firstLineChars="200"/>
        <w:outlineLvl w:val="1"/>
        <w:rPr>
          <w:rFonts w:hint="eastAsia" w:ascii="Times New Roman" w:hAnsi="Times New Roman" w:eastAsia="方正仿宋简体" w:cs="Times New Roman"/>
          <w:spacing w:val="13"/>
          <w:sz w:val="32"/>
          <w:szCs w:val="32"/>
          <w:lang w:eastAsia="zh-CN"/>
        </w:rPr>
      </w:pPr>
      <w:r>
        <w:rPr>
          <w:rFonts w:hint="eastAsia" w:ascii="Times New Roman" w:hAnsi="Times New Roman" w:eastAsia="方正仿宋简体" w:cs="Times New Roman"/>
          <w:spacing w:val="13"/>
          <w:sz w:val="32"/>
          <w:szCs w:val="32"/>
          <w:lang w:eastAsia="zh-CN"/>
        </w:rPr>
        <w:t>承销费率：承销费及管理费</w:t>
      </w:r>
      <w:bookmarkStart w:id="0" w:name="OLE_LINK2"/>
      <w:r>
        <w:rPr>
          <w:rFonts w:hint="eastAsia" w:ascii="Times New Roman" w:hAnsi="Times New Roman" w:eastAsia="方正仿宋简体" w:cs="Times New Roman"/>
          <w:spacing w:val="13"/>
          <w:sz w:val="32"/>
          <w:szCs w:val="32"/>
          <w:lang w:eastAsia="zh-CN"/>
        </w:rPr>
        <w:t>以百分数形式表示，按每期发行金额计算，一次性收取（以发行金额10亿元为例），报价一经发出不得撤销或变更。</w:t>
      </w:r>
    </w:p>
    <w:bookmarkEnd w:id="0"/>
    <w:p w14:paraId="79AF8996">
      <w:pPr>
        <w:pStyle w:val="2"/>
        <w:spacing w:before="120" w:beforeLines="50" w:after="120" w:afterLines="50" w:line="560" w:lineRule="exact"/>
        <w:ind w:left="420" w:leftChars="200" w:right="91" w:firstLine="692" w:firstLineChars="200"/>
        <w:outlineLvl w:val="1"/>
        <w:rPr>
          <w:rFonts w:hint="eastAsia" w:ascii="Times New Roman" w:hAnsi="Times New Roman" w:eastAsia="方正仿宋简体" w:cs="Times New Roman"/>
          <w:spacing w:val="13"/>
          <w:sz w:val="32"/>
          <w:szCs w:val="32"/>
          <w:lang w:eastAsia="zh-CN"/>
        </w:rPr>
      </w:pPr>
      <w:r>
        <w:rPr>
          <w:rFonts w:hint="eastAsia" w:ascii="Times New Roman" w:hAnsi="Times New Roman" w:eastAsia="方正仿宋简体" w:cs="Times New Roman"/>
          <w:spacing w:val="13"/>
          <w:sz w:val="32"/>
          <w:szCs w:val="32"/>
          <w:lang w:eastAsia="zh-CN"/>
        </w:rPr>
        <w:t>增值税费率</w:t>
      </w:r>
      <w:r>
        <w:rPr>
          <w:rFonts w:hint="eastAsia" w:ascii="Times New Roman" w:hAnsi="Times New Roman" w:eastAsia="方正仿宋简体" w:cs="Times New Roman"/>
          <w:sz w:val="24"/>
          <w:szCs w:val="32"/>
          <w:lang w:eastAsia="zh-CN"/>
        </w:rPr>
        <w:t>：</w:t>
      </w:r>
      <w:r>
        <w:rPr>
          <w:rFonts w:hint="eastAsia" w:ascii="Times New Roman" w:hAnsi="Times New Roman" w:eastAsia="方正仿宋简体" w:cs="Times New Roman"/>
          <w:spacing w:val="13"/>
          <w:sz w:val="32"/>
          <w:szCs w:val="32"/>
          <w:lang w:eastAsia="zh-CN"/>
        </w:rPr>
        <w:t>以百分数形式表示，按每期发行金额计算，一次性收取（</w:t>
      </w:r>
      <w:bookmarkStart w:id="1" w:name="OLE_LINK5"/>
      <w:r>
        <w:rPr>
          <w:rFonts w:hint="eastAsia" w:ascii="Times New Roman" w:hAnsi="Times New Roman" w:eastAsia="方正仿宋简体" w:cs="Times New Roman"/>
          <w:spacing w:val="13"/>
          <w:sz w:val="32"/>
          <w:szCs w:val="32"/>
          <w:lang w:eastAsia="zh-CN"/>
        </w:rPr>
        <w:t>以发行</w:t>
      </w:r>
      <w:bookmarkStart w:id="2" w:name="OLE_LINK4"/>
      <w:r>
        <w:rPr>
          <w:rFonts w:hint="eastAsia" w:ascii="Times New Roman" w:hAnsi="Times New Roman" w:eastAsia="方正仿宋简体" w:cs="Times New Roman"/>
          <w:spacing w:val="13"/>
          <w:sz w:val="32"/>
          <w:szCs w:val="32"/>
          <w:lang w:eastAsia="zh-CN"/>
        </w:rPr>
        <w:t>金额10亿元、3年期、利率2.2%</w:t>
      </w:r>
      <w:bookmarkEnd w:id="2"/>
      <w:r>
        <w:rPr>
          <w:rFonts w:hint="eastAsia" w:ascii="Times New Roman" w:hAnsi="Times New Roman" w:eastAsia="方正仿宋简体" w:cs="Times New Roman"/>
          <w:spacing w:val="13"/>
          <w:sz w:val="32"/>
          <w:szCs w:val="32"/>
          <w:lang w:eastAsia="zh-CN"/>
        </w:rPr>
        <w:t>为例</w:t>
      </w:r>
      <w:bookmarkEnd w:id="1"/>
      <w:r>
        <w:rPr>
          <w:rFonts w:hint="eastAsia" w:ascii="Times New Roman" w:hAnsi="Times New Roman" w:eastAsia="方正仿宋简体" w:cs="Times New Roman"/>
          <w:spacing w:val="13"/>
          <w:sz w:val="32"/>
          <w:szCs w:val="32"/>
          <w:lang w:eastAsia="zh-CN"/>
        </w:rPr>
        <w:t>），报价一经发出不得撤销或变更。</w:t>
      </w:r>
    </w:p>
    <w:p w14:paraId="002D4E85">
      <w:pPr>
        <w:pStyle w:val="2"/>
        <w:numPr>
          <w:ilvl w:val="0"/>
          <w:numId w:val="2"/>
        </w:numPr>
        <w:spacing w:before="120" w:beforeLines="50" w:after="120" w:afterLines="50" w:line="560" w:lineRule="exact"/>
        <w:ind w:right="91" w:firstLine="640" w:firstLineChars="200"/>
        <w:outlineLvl w:val="1"/>
        <w:rPr>
          <w:rFonts w:ascii="Times New Roman" w:hAnsi="Times New Roman" w:eastAsia="方正黑体简体" w:cs="Times New Roman"/>
          <w:snapToGrid/>
          <w:kern w:val="2"/>
          <w:sz w:val="32"/>
          <w:szCs w:val="32"/>
          <w:lang w:eastAsia="zh-CN"/>
        </w:rPr>
      </w:pPr>
      <w:r>
        <w:rPr>
          <w:rFonts w:hint="eastAsia" w:ascii="Times New Roman" w:hAnsi="Times New Roman" w:eastAsia="方正黑体简体" w:cs="Times New Roman"/>
          <w:snapToGrid/>
          <w:kern w:val="2"/>
          <w:sz w:val="32"/>
          <w:szCs w:val="32"/>
          <w:lang w:eastAsia="zh-CN"/>
        </w:rPr>
        <w:t>专业能力与服务意愿</w:t>
      </w:r>
    </w:p>
    <w:p w14:paraId="76F6A51D">
      <w:pPr>
        <w:pStyle w:val="2"/>
        <w:spacing w:before="120" w:beforeLines="50" w:after="120" w:afterLines="50" w:line="560" w:lineRule="exact"/>
        <w:ind w:right="91" w:firstLine="692" w:firstLineChars="200"/>
        <w:jc w:val="both"/>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pacing w:val="13"/>
          <w:sz w:val="32"/>
          <w:szCs w:val="32"/>
          <w:lang w:eastAsia="zh-CN"/>
        </w:rPr>
        <w:t>1、服务团队人员安排：包含团队人员简介，团队人员应具备</w:t>
      </w:r>
      <w:r>
        <w:rPr>
          <w:rFonts w:hint="eastAsia" w:ascii="Times New Roman" w:hAnsi="Times New Roman" w:eastAsia="方正仿宋简体" w:cs="Times New Roman"/>
          <w:spacing w:val="16"/>
          <w:sz w:val="32"/>
          <w:szCs w:val="32"/>
          <w:lang w:eastAsia="zh-CN"/>
        </w:rPr>
        <w:t>专业胜任能力以及与交易所的良好沟通能力。本次项目需提前明确项</w:t>
      </w:r>
      <w:r>
        <w:rPr>
          <w:rFonts w:hint="eastAsia" w:ascii="Times New Roman" w:hAnsi="Times New Roman" w:eastAsia="方正仿宋简体" w:cs="Times New Roman"/>
          <w:spacing w:val="15"/>
          <w:sz w:val="32"/>
          <w:szCs w:val="32"/>
          <w:lang w:eastAsia="zh-CN"/>
        </w:rPr>
        <w:t>目所有执行人并在整个注册及发行环节保持不变，如需变更须经我</w:t>
      </w:r>
      <w:r>
        <w:rPr>
          <w:rFonts w:hint="eastAsia" w:ascii="Times New Roman" w:hAnsi="Times New Roman" w:eastAsia="方正仿宋简体" w:cs="Times New Roman"/>
          <w:spacing w:val="16"/>
          <w:sz w:val="32"/>
          <w:szCs w:val="32"/>
          <w:lang w:eastAsia="zh-CN"/>
        </w:rPr>
        <w:t>司同意，如未经我司同意变更，则我司有权单方取消贵方对本单资</w:t>
      </w:r>
      <w:r>
        <w:rPr>
          <w:rFonts w:hint="eastAsia" w:ascii="Times New Roman" w:hAnsi="Times New Roman" w:eastAsia="方正仿宋简体" w:cs="Times New Roman"/>
          <w:spacing w:val="18"/>
          <w:sz w:val="32"/>
          <w:szCs w:val="32"/>
          <w:lang w:eastAsia="zh-CN"/>
        </w:rPr>
        <w:t>产支持证券的主承销商资格。</w:t>
      </w:r>
    </w:p>
    <w:p w14:paraId="43AB7EAC">
      <w:pPr>
        <w:pStyle w:val="2"/>
        <w:spacing w:before="120" w:beforeLines="50" w:after="120" w:afterLines="50" w:line="560" w:lineRule="exact"/>
        <w:ind w:right="91" w:firstLine="708" w:firstLineChars="200"/>
        <w:rPr>
          <w:rFonts w:hint="eastAsia" w:ascii="Times New Roman" w:hAnsi="Times New Roman" w:eastAsia="方正仿宋简体" w:cs="Times New Roman"/>
          <w:spacing w:val="20"/>
          <w:sz w:val="32"/>
          <w:szCs w:val="32"/>
          <w:lang w:eastAsia="zh-CN"/>
        </w:rPr>
      </w:pPr>
      <w:r>
        <w:rPr>
          <w:rFonts w:hint="eastAsia" w:ascii="Times New Roman" w:hAnsi="Times New Roman" w:eastAsia="方正仿宋简体" w:cs="Times New Roman"/>
          <w:spacing w:val="17"/>
          <w:sz w:val="32"/>
          <w:szCs w:val="32"/>
          <w:lang w:eastAsia="zh-CN"/>
        </w:rPr>
        <w:t>2、工作步骤及时间节点安排：</w:t>
      </w:r>
      <w:r>
        <w:rPr>
          <w:rFonts w:hint="eastAsia" w:ascii="Times New Roman" w:hAnsi="Times New Roman" w:eastAsia="方正仿宋简体" w:cs="Times New Roman"/>
          <w:spacing w:val="20"/>
          <w:sz w:val="32"/>
          <w:szCs w:val="32"/>
          <w:lang w:eastAsia="zh-CN"/>
        </w:rPr>
        <w:t>需合理安排，提供注册时间节点、各中介机构同步进场时间、报会时间、获得注册批文时间以及相关时点所需准备材料。</w:t>
      </w:r>
    </w:p>
    <w:p w14:paraId="7486CE94">
      <w:pPr>
        <w:pStyle w:val="2"/>
        <w:spacing w:before="120" w:beforeLines="50" w:after="120" w:afterLines="50" w:line="560" w:lineRule="exact"/>
        <w:ind w:right="91" w:firstLine="720" w:firstLineChars="200"/>
        <w:rPr>
          <w:rFonts w:hint="eastAsia" w:ascii="Times New Roman" w:hAnsi="Times New Roman" w:eastAsia="方正仿宋简体" w:cs="Times New Roman"/>
          <w:spacing w:val="20"/>
          <w:sz w:val="32"/>
          <w:szCs w:val="32"/>
          <w:lang w:eastAsia="zh-CN"/>
        </w:rPr>
      </w:pPr>
    </w:p>
    <w:p w14:paraId="12AC4AA7">
      <w:pPr>
        <w:pStyle w:val="2"/>
        <w:numPr>
          <w:ilvl w:val="0"/>
          <w:numId w:val="2"/>
        </w:numPr>
        <w:spacing w:before="120" w:beforeLines="50" w:after="120" w:afterLines="50" w:line="560" w:lineRule="exact"/>
        <w:ind w:right="91" w:firstLine="640" w:firstLineChars="200"/>
        <w:outlineLvl w:val="1"/>
        <w:rPr>
          <w:rFonts w:ascii="Times New Roman" w:hAnsi="Times New Roman" w:eastAsia="方正黑体简体" w:cs="Times New Roman"/>
          <w:snapToGrid/>
          <w:kern w:val="2"/>
          <w:sz w:val="32"/>
          <w:szCs w:val="32"/>
          <w:lang w:eastAsia="zh-CN"/>
        </w:rPr>
      </w:pPr>
      <w:r>
        <w:rPr>
          <w:rFonts w:hint="eastAsia" w:ascii="Times New Roman" w:hAnsi="Times New Roman" w:eastAsia="方正黑体简体" w:cs="Times New Roman"/>
          <w:snapToGrid/>
          <w:kern w:val="2"/>
          <w:sz w:val="32"/>
          <w:szCs w:val="32"/>
          <w:lang w:eastAsia="zh-CN"/>
        </w:rPr>
        <w:t>承销业绩</w:t>
      </w:r>
    </w:p>
    <w:p w14:paraId="155E0F32">
      <w:pPr>
        <w:pStyle w:val="2"/>
        <w:spacing w:before="120" w:beforeLines="50" w:after="120" w:afterLines="50" w:line="560" w:lineRule="exact"/>
        <w:ind w:right="91" w:firstLine="664" w:firstLineChars="200"/>
        <w:jc w:val="both"/>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pacing w:val="6"/>
          <w:sz w:val="32"/>
          <w:szCs w:val="32"/>
          <w:lang w:eastAsia="zh-CN"/>
        </w:rPr>
        <w:t>1、提供2025年1-12月</w:t>
      </w:r>
      <w:r>
        <w:rPr>
          <w:rFonts w:hint="eastAsia" w:ascii="Times New Roman" w:hAnsi="Times New Roman" w:eastAsia="方正仿宋简体" w:cs="Times New Roman"/>
          <w:sz w:val="32"/>
          <w:szCs w:val="32"/>
          <w:lang w:eastAsia="zh-CN"/>
        </w:rPr>
        <w:t>承销全国融资租赁公司交易所资产支持证券的发行明细（含主体名称、金额、利率等要素，剔除次级资产支持证券），</w:t>
      </w:r>
      <w:r>
        <w:rPr>
          <w:rFonts w:hint="eastAsia" w:ascii="Times New Roman" w:hAnsi="Times New Roman" w:eastAsia="方正仿宋简体" w:cs="Times New Roman"/>
          <w:spacing w:val="-4"/>
          <w:sz w:val="32"/>
          <w:szCs w:val="32"/>
          <w:lang w:eastAsia="zh-CN"/>
        </w:rPr>
        <w:t>以wind数据为准。</w:t>
      </w:r>
    </w:p>
    <w:p w14:paraId="27F4A1F6">
      <w:pPr>
        <w:pStyle w:val="2"/>
        <w:spacing w:before="120" w:beforeLines="50" w:after="120" w:afterLines="50" w:line="560" w:lineRule="exact"/>
        <w:ind w:right="91" w:firstLine="600" w:firstLineChars="200"/>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pacing w:val="-10"/>
          <w:sz w:val="32"/>
          <w:szCs w:val="32"/>
          <w:lang w:eastAsia="zh-CN"/>
        </w:rPr>
        <w:t>2、按照2025年1-12月</w:t>
      </w:r>
      <w:r>
        <w:rPr>
          <w:rFonts w:hint="eastAsia" w:ascii="Times New Roman" w:hAnsi="Times New Roman" w:eastAsia="方正仿宋简体" w:cs="Times New Roman"/>
          <w:sz w:val="32"/>
          <w:szCs w:val="32"/>
          <w:lang w:eastAsia="zh-CN"/>
        </w:rPr>
        <w:t>累计承销全国融资租赁公司资产支持证券的规模（含各主体名称、金额）</w:t>
      </w:r>
      <w:r>
        <w:rPr>
          <w:rFonts w:hint="eastAsia" w:ascii="Times New Roman" w:hAnsi="Times New Roman" w:eastAsia="方正仿宋简体" w:cs="Times New Roman"/>
          <w:spacing w:val="-7"/>
          <w:sz w:val="32"/>
          <w:szCs w:val="32"/>
          <w:lang w:eastAsia="zh-CN"/>
        </w:rPr>
        <w:t>。</w:t>
      </w:r>
    </w:p>
    <w:p w14:paraId="16BFB17C">
      <w:pPr>
        <w:pStyle w:val="2"/>
        <w:numPr>
          <w:ilvl w:val="0"/>
          <w:numId w:val="2"/>
        </w:numPr>
        <w:spacing w:before="120" w:beforeLines="50" w:after="120" w:afterLines="50" w:line="560" w:lineRule="exact"/>
        <w:ind w:right="91" w:firstLine="640" w:firstLineChars="200"/>
        <w:outlineLvl w:val="1"/>
        <w:rPr>
          <w:rFonts w:ascii="Times New Roman" w:hAnsi="Times New Roman" w:eastAsia="方正黑体简体" w:cs="Times New Roman"/>
          <w:snapToGrid/>
          <w:kern w:val="2"/>
          <w:sz w:val="32"/>
          <w:szCs w:val="32"/>
          <w:lang w:eastAsia="zh-CN"/>
        </w:rPr>
      </w:pPr>
      <w:r>
        <w:rPr>
          <w:rFonts w:hint="eastAsia" w:ascii="Times New Roman" w:hAnsi="Times New Roman" w:eastAsia="方正黑体简体" w:cs="Times New Roman"/>
          <w:snapToGrid/>
          <w:kern w:val="2"/>
          <w:sz w:val="32"/>
          <w:szCs w:val="32"/>
          <w:lang w:eastAsia="zh-CN"/>
        </w:rPr>
        <w:t>综合支持力度</w:t>
      </w:r>
    </w:p>
    <w:p w14:paraId="1CC7F9EC">
      <w:pPr>
        <w:pStyle w:val="2"/>
        <w:spacing w:before="120" w:beforeLines="50" w:after="120" w:afterLines="50" w:line="560" w:lineRule="exact"/>
        <w:ind w:left="109" w:right="91" w:firstLine="648" w:firstLineChars="200"/>
        <w:rPr>
          <w:rFonts w:hint="eastAsia" w:ascii="Times New Roman" w:hAnsi="Times New Roman" w:eastAsia="方正仿宋简体" w:cs="Times New Roman"/>
          <w:spacing w:val="22"/>
          <w:sz w:val="32"/>
          <w:szCs w:val="32"/>
          <w:lang w:eastAsia="zh-CN"/>
        </w:rPr>
      </w:pPr>
      <w:r>
        <w:rPr>
          <w:rFonts w:hint="eastAsia" w:ascii="Times New Roman" w:hAnsi="Times New Roman" w:eastAsia="方正仿宋简体" w:cs="Times New Roman"/>
          <w:spacing w:val="2"/>
          <w:sz w:val="32"/>
          <w:szCs w:val="32"/>
          <w:lang w:val="en-US" w:eastAsia="zh-CN"/>
        </w:rPr>
        <w:t>1、</w:t>
      </w:r>
      <w:r>
        <w:rPr>
          <w:rFonts w:hint="eastAsia" w:ascii="Times New Roman" w:hAnsi="Times New Roman" w:eastAsia="方正仿宋简体" w:cs="Times New Roman"/>
          <w:spacing w:val="2"/>
          <w:sz w:val="32"/>
          <w:szCs w:val="32"/>
          <w:lang w:eastAsia="zh-CN"/>
        </w:rPr>
        <w:t>提供能够给予淮海租赁</w:t>
      </w:r>
      <w:r>
        <w:rPr>
          <w:rFonts w:hint="eastAsia" w:ascii="Times New Roman" w:hAnsi="Times New Roman" w:eastAsia="方正仿宋简体" w:cs="Times New Roman"/>
          <w:sz w:val="32"/>
          <w:szCs w:val="32"/>
          <w:lang w:eastAsia="zh-CN"/>
        </w:rPr>
        <w:t>资产支持证券</w:t>
      </w:r>
      <w:r>
        <w:rPr>
          <w:rFonts w:hint="eastAsia" w:ascii="Times New Roman" w:hAnsi="Times New Roman" w:eastAsia="方正仿宋简体" w:cs="Times New Roman"/>
          <w:spacing w:val="2"/>
          <w:sz w:val="32"/>
          <w:szCs w:val="32"/>
          <w:lang w:eastAsia="zh-CN"/>
        </w:rPr>
        <w:t>认购方面支持的承诺文件(需</w:t>
      </w:r>
      <w:r>
        <w:rPr>
          <w:rFonts w:hint="eastAsia" w:ascii="Times New Roman" w:hAnsi="Times New Roman" w:eastAsia="方正仿宋简体" w:cs="Times New Roman"/>
          <w:spacing w:val="22"/>
          <w:sz w:val="32"/>
          <w:szCs w:val="32"/>
          <w:lang w:eastAsia="zh-CN"/>
        </w:rPr>
        <w:t>书面证明材料)。</w:t>
      </w:r>
    </w:p>
    <w:p w14:paraId="225A962C">
      <w:pPr>
        <w:pStyle w:val="2"/>
        <w:spacing w:before="120" w:beforeLines="50" w:after="120" w:afterLines="50" w:line="560" w:lineRule="exact"/>
        <w:ind w:left="109" w:right="91" w:firstLine="648" w:firstLineChars="200"/>
        <w:rPr>
          <w:rFonts w:hint="eastAsia" w:ascii="Times New Roman" w:hAnsi="Times New Roman" w:eastAsia="方正仿宋简体" w:cs="Times New Roman"/>
          <w:spacing w:val="2"/>
          <w:sz w:val="32"/>
          <w:szCs w:val="32"/>
          <w:lang w:eastAsia="zh-CN"/>
        </w:rPr>
      </w:pPr>
      <w:r>
        <w:rPr>
          <w:rFonts w:hint="eastAsia" w:ascii="Times New Roman" w:hAnsi="Times New Roman" w:eastAsia="方正仿宋简体" w:cs="Times New Roman"/>
          <w:spacing w:val="2"/>
          <w:sz w:val="32"/>
          <w:szCs w:val="32"/>
          <w:lang w:val="en-US" w:eastAsia="zh-CN"/>
        </w:rPr>
        <w:t>2、</w:t>
      </w:r>
      <w:r>
        <w:rPr>
          <w:rFonts w:hint="eastAsia" w:ascii="Times New Roman" w:hAnsi="Times New Roman" w:eastAsia="方正仿宋简体" w:cs="Times New Roman"/>
          <w:spacing w:val="2"/>
          <w:sz w:val="32"/>
          <w:szCs w:val="32"/>
          <w:lang w:eastAsia="zh-CN"/>
        </w:rPr>
        <w:t>以往对产发集团（含子公司）的支持情况（包括但不限于转售投债、过往履约及政策研究支持等）</w:t>
      </w:r>
    </w:p>
    <w:p w14:paraId="6AA76A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8EB77"/>
    <w:multiLevelType w:val="singleLevel"/>
    <w:tmpl w:val="3918EB77"/>
    <w:lvl w:ilvl="0" w:tentative="0">
      <w:start w:val="1"/>
      <w:numFmt w:val="chineseCounting"/>
      <w:suff w:val="nothing"/>
      <w:lvlText w:val="（%1）"/>
      <w:lvlJc w:val="left"/>
      <w:pPr>
        <w:ind w:left="0" w:firstLine="622"/>
      </w:pPr>
      <w:rPr>
        <w:rFonts w:hint="eastAsia"/>
      </w:rPr>
    </w:lvl>
  </w:abstractNum>
  <w:abstractNum w:abstractNumId="1">
    <w:nsid w:val="7F4C59E2"/>
    <w:multiLevelType w:val="singleLevel"/>
    <w:tmpl w:val="7F4C59E2"/>
    <w:lvl w:ilvl="0" w:tentative="0">
      <w:start w:val="1"/>
      <w:numFmt w:val="chineseCounting"/>
      <w:suff w:val="nothing"/>
      <w:lvlText w:val="%1、"/>
      <w:lvlJc w:val="left"/>
      <w:pPr>
        <w:ind w:left="0" w:firstLine="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92EA0"/>
    <w:rsid w:val="0920257A"/>
    <w:rsid w:val="16F947A3"/>
    <w:rsid w:val="2CA90A4C"/>
    <w:rsid w:val="39C41BED"/>
    <w:rsid w:val="5B1C04B7"/>
    <w:rsid w:val="64792EA0"/>
    <w:rsid w:val="73897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rPr>
  </w:style>
  <w:style w:type="paragraph" w:styleId="3">
    <w:name w:val="footer"/>
    <w:basedOn w:val="1"/>
    <w:qFormat/>
    <w:uiPriority w:val="99"/>
    <w:pPr>
      <w:tabs>
        <w:tab w:val="center" w:pos="4153"/>
        <w:tab w:val="right" w:pos="8306"/>
      </w:tabs>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674</Words>
  <Characters>709</Characters>
  <Lines>0</Lines>
  <Paragraphs>0</Paragraphs>
  <TotalTime>0</TotalTime>
  <ScaleCrop>false</ScaleCrop>
  <LinksUpToDate>false</LinksUpToDate>
  <CharactersWithSpaces>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2026-04-03T02:50:00Z</dcterms:created>
  <dc:creator>苏子晗</dc:creator>
  <cp:lastModifiedBy>集团办公室周娜</cp:lastModifiedBy>
  <dcterms:modified xsi:type="dcterms:W3CDTF">2026-04-07T02:20:12Z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EE493ED2C8D1435AAA25280725A8BC57_13</vt:lpwstr>
  </property>
  <property fmtid="{D5CDD505-2E9C-101B-9397-08002B2CF9AE}" pid="4" name="KSOTemplateDocerSaveRecord">
    <vt:lpwstr>eyJoZGlkIjoiNjdjZjhjNzE3M2M3NDUwMzE4ZGI4ZWMwZDkyNzY1YjUiLCJ1c2VySWQiOiIxNzE4NTczMjgwIn0=</vt:lpwstr>
  </property>
</Properties>
</file>