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spacing w:after="156" w:afterLines="50" w:line="600" w:lineRule="exact"/>
        <w:jc w:val="center"/>
        <w:rPr>
          <w:rFonts w:hint="default" w:ascii="Times New Roman" w:hAnsi="Times New Roman" w:eastAsia="方正小标宋简体" w:cs="Times New Roman"/>
          <w:color w:val="000000"/>
          <w:sz w:val="44"/>
          <w:szCs w:val="44"/>
        </w:rPr>
      </w:pPr>
      <w:r>
        <w:rPr>
          <w:rFonts w:hint="default" w:ascii="Times New Roman" w:hAnsi="Times New Roman" w:eastAsia="方正小标宋_GBK" w:cs="Times New Roman"/>
          <w:color w:val="000000"/>
          <w:sz w:val="44"/>
          <w:szCs w:val="44"/>
          <w:lang w:val="en-US" w:eastAsia="zh-CN"/>
        </w:rPr>
        <w:t>江苏</w:t>
      </w:r>
      <w:r>
        <w:rPr>
          <w:rFonts w:hint="default" w:ascii="Times New Roman" w:hAnsi="Times New Roman" w:eastAsia="方正小标宋_GBK" w:cs="Times New Roman"/>
          <w:color w:val="000000"/>
          <w:sz w:val="44"/>
          <w:szCs w:val="44"/>
        </w:rPr>
        <w:t>新闻奖</w:t>
      </w:r>
      <w:r>
        <w:rPr>
          <w:rFonts w:hint="default" w:ascii="Times New Roman" w:hAnsi="Times New Roman" w:eastAsia="方正小标宋_GBK" w:cs="Times New Roman"/>
          <w:color w:val="000000"/>
          <w:sz w:val="44"/>
          <w:szCs w:val="44"/>
          <w:lang w:eastAsia="zh-CN"/>
        </w:rPr>
        <w:t>（</w:t>
      </w:r>
      <w:r>
        <w:rPr>
          <w:rFonts w:hint="default" w:ascii="Times New Roman" w:hAnsi="Times New Roman" w:eastAsia="方正小标宋_GBK" w:cs="Times New Roman"/>
          <w:color w:val="000000"/>
          <w:sz w:val="44"/>
          <w:szCs w:val="44"/>
          <w:lang w:val="en-US" w:eastAsia="zh-CN"/>
        </w:rPr>
        <w:t>作品</w:t>
      </w:r>
      <w:r>
        <w:rPr>
          <w:rFonts w:hint="eastAsia" w:ascii="Times New Roman" w:hAnsi="Times New Roman" w:eastAsia="方正小标宋_GBK" w:cs="Times New Roman"/>
          <w:color w:val="000000"/>
          <w:sz w:val="44"/>
          <w:szCs w:val="44"/>
          <w:lang w:val="en-US" w:eastAsia="zh-CN"/>
        </w:rPr>
        <w:t>类</w:t>
      </w:r>
      <w:r>
        <w:rPr>
          <w:rFonts w:hint="default" w:ascii="Times New Roman" w:hAnsi="Times New Roman" w:eastAsia="方正小标宋_GBK" w:cs="Times New Roman"/>
          <w:color w:val="000000"/>
          <w:sz w:val="44"/>
          <w:szCs w:val="44"/>
          <w:lang w:eastAsia="zh-CN"/>
        </w:rPr>
        <w:t>）</w:t>
      </w:r>
      <w:r>
        <w:rPr>
          <w:rFonts w:hint="default" w:ascii="Times New Roman" w:hAnsi="Times New Roman" w:eastAsia="方正小标宋_GBK" w:cs="Times New Roman"/>
          <w:color w:val="000000"/>
          <w:sz w:val="44"/>
          <w:szCs w:val="44"/>
        </w:rPr>
        <w:t>参评作品推荐表</w:t>
      </w:r>
    </w:p>
    <w:tbl>
      <w:tblPr>
        <w:tblStyle w:val="4"/>
        <w:tblW w:w="98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jc w:val="center"/>
        </w:trPr>
        <w:tc>
          <w:tcPr>
            <w:tcW w:w="992" w:type="dxa"/>
            <w:tcBorders>
              <w:tl2br w:val="nil"/>
              <w:tr2bl w:val="nil"/>
            </w:tcBorders>
            <w:vAlign w:val="center"/>
          </w:tcPr>
          <w:p w14:paraId="3D56D549">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作品</w:t>
            </w:r>
          </w:p>
          <w:p w14:paraId="54EF6AB0">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标题</w:t>
            </w:r>
          </w:p>
        </w:tc>
        <w:tc>
          <w:tcPr>
            <w:tcW w:w="3728" w:type="dxa"/>
            <w:gridSpan w:val="4"/>
            <w:tcBorders>
              <w:tl2br w:val="nil"/>
              <w:tr2bl w:val="nil"/>
            </w:tcBorders>
            <w:vAlign w:val="center"/>
          </w:tcPr>
          <w:p w14:paraId="5609971C">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方正仿宋_GBK" w:hAnsi="方正仿宋_GBK" w:eastAsia="方正仿宋_GBK" w:cs="方正仿宋_GBK"/>
                <w:b w:val="0"/>
                <w:bCs w:val="0"/>
                <w:color w:val="000000"/>
                <w:sz w:val="28"/>
                <w:szCs w:val="28"/>
              </w:rPr>
            </w:pPr>
            <w:r>
              <w:rPr>
                <w:rFonts w:hint="eastAsia" w:ascii="方正仿宋_GBK" w:hAnsi="方正仿宋_GBK" w:eastAsia="方正仿宋_GBK" w:cs="方正仿宋_GBK"/>
                <w:b w:val="0"/>
                <w:bCs w:val="0"/>
                <w:color w:val="000000"/>
                <w:sz w:val="28"/>
                <w:szCs w:val="28"/>
                <w:lang w:val="en-US" w:eastAsia="zh-CN"/>
              </w:rPr>
              <w:t>“铁流”奔腾18载</w:t>
            </w:r>
          </w:p>
        </w:tc>
        <w:tc>
          <w:tcPr>
            <w:tcW w:w="1819" w:type="dxa"/>
            <w:gridSpan w:val="2"/>
            <w:tcBorders>
              <w:tl2br w:val="nil"/>
              <w:tr2bl w:val="nil"/>
            </w:tcBorders>
            <w:vAlign w:val="center"/>
          </w:tcPr>
          <w:p w14:paraId="350F4878">
            <w:pPr>
              <w:spacing w:line="320" w:lineRule="exact"/>
              <w:jc w:val="center"/>
              <w:rPr>
                <w:rFonts w:hint="eastAsia"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作品</w:t>
            </w:r>
          </w:p>
          <w:p w14:paraId="7C625C79">
            <w:pPr>
              <w:spacing w:line="320" w:lineRule="exact"/>
              <w:jc w:val="center"/>
              <w:rPr>
                <w:rFonts w:hint="default"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年度</w:t>
            </w:r>
          </w:p>
        </w:tc>
        <w:tc>
          <w:tcPr>
            <w:tcW w:w="3274" w:type="dxa"/>
            <w:gridSpan w:val="3"/>
            <w:tcBorders>
              <w:tl2br w:val="nil"/>
              <w:tr2bl w:val="nil"/>
            </w:tcBorders>
            <w:vAlign w:val="center"/>
          </w:tcPr>
          <w:p w14:paraId="648297C0">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方正仿宋_GBK" w:hAnsi="方正仿宋_GBK" w:eastAsia="方正仿宋_GBK" w:cs="方正仿宋_GBK"/>
                <w:b w:val="0"/>
                <w:bCs w:val="0"/>
                <w:color w:val="000000"/>
                <w:sz w:val="28"/>
                <w:szCs w:val="28"/>
                <w:lang w:val="en-US" w:eastAsia="zh-CN"/>
              </w:rPr>
            </w:pPr>
            <w:r>
              <w:rPr>
                <w:rFonts w:hint="eastAsia" w:ascii="方正仿宋_GBK" w:hAnsi="方正仿宋_GBK" w:eastAsia="方正仿宋_GBK" w:cs="方正仿宋_GBK"/>
                <w:b w:val="0"/>
                <w:bCs w:val="0"/>
                <w:color w:val="000000"/>
                <w:sz w:val="28"/>
                <w:szCs w:val="28"/>
                <w:lang w:val="en-US" w:eastAsia="zh-CN"/>
              </w:rPr>
              <w:t>2024年度</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exact"/>
          <w:jc w:val="center"/>
        </w:trPr>
        <w:tc>
          <w:tcPr>
            <w:tcW w:w="992" w:type="dxa"/>
            <w:vMerge w:val="restart"/>
            <w:tcBorders>
              <w:tl2br w:val="nil"/>
              <w:tr2bl w:val="nil"/>
            </w:tcBorders>
            <w:vAlign w:val="center"/>
          </w:tcPr>
          <w:p w14:paraId="420C0C53">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字数</w:t>
            </w:r>
          </w:p>
          <w:p w14:paraId="241941F1">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时长</w:t>
            </w:r>
          </w:p>
        </w:tc>
        <w:tc>
          <w:tcPr>
            <w:tcW w:w="3728" w:type="dxa"/>
            <w:gridSpan w:val="4"/>
            <w:vMerge w:val="restart"/>
            <w:tcBorders>
              <w:tl2br w:val="nil"/>
              <w:tr2bl w:val="nil"/>
            </w:tcBorders>
            <w:vAlign w:val="center"/>
          </w:tcPr>
          <w:p w14:paraId="5D3106D2">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方正仿宋_GBK" w:hAnsi="方正仿宋_GBK" w:eastAsia="方正仿宋_GBK" w:cs="方正仿宋_GBK"/>
                <w:b w:val="0"/>
                <w:bCs w:val="0"/>
                <w:color w:val="000000"/>
                <w:sz w:val="28"/>
                <w:szCs w:val="28"/>
                <w:lang w:val="en-US" w:eastAsia="zh-CN"/>
              </w:rPr>
            </w:pPr>
            <w:r>
              <w:rPr>
                <w:rFonts w:hint="eastAsia" w:ascii="方正仿宋_GBK" w:hAnsi="方正仿宋_GBK" w:eastAsia="方正仿宋_GBK" w:cs="方正仿宋_GBK"/>
                <w:b w:val="0"/>
                <w:bCs w:val="0"/>
                <w:color w:val="000000"/>
                <w:sz w:val="28"/>
                <w:szCs w:val="28"/>
                <w:lang w:val="en-US" w:eastAsia="zh-CN"/>
              </w:rPr>
              <w:t>1899字</w:t>
            </w:r>
            <w:bookmarkStart w:id="0" w:name="_GoBack"/>
            <w:bookmarkEnd w:id="0"/>
          </w:p>
        </w:tc>
        <w:tc>
          <w:tcPr>
            <w:tcW w:w="1819" w:type="dxa"/>
            <w:gridSpan w:val="2"/>
            <w:tcBorders>
              <w:tl2br w:val="nil"/>
              <w:tr2bl w:val="nil"/>
            </w:tcBorders>
            <w:shd w:val="clear" w:color="auto" w:fill="auto"/>
            <w:vAlign w:val="center"/>
          </w:tcPr>
          <w:p w14:paraId="71E667F0">
            <w:pPr>
              <w:spacing w:line="320" w:lineRule="exact"/>
              <w:jc w:val="center"/>
              <w:rPr>
                <w:rFonts w:hint="eastAsia"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作品</w:t>
            </w:r>
          </w:p>
          <w:p w14:paraId="1BB47A1D">
            <w:pPr>
              <w:spacing w:line="320" w:lineRule="exact"/>
              <w:jc w:val="center"/>
              <w:rPr>
                <w:rFonts w:hint="default" w:ascii="Times New Roman" w:hAnsi="Times New Roman" w:eastAsia="方正仿宋_GBK" w:cs="Times New Roman"/>
                <w:b/>
                <w:bCs/>
                <w:color w:val="000000"/>
                <w:kern w:val="2"/>
                <w:sz w:val="28"/>
                <w:szCs w:val="22"/>
                <w:lang w:val="en-US" w:eastAsia="zh-CN" w:bidi="ar-SA"/>
              </w:rPr>
            </w:pPr>
            <w:r>
              <w:rPr>
                <w:rFonts w:hint="eastAsia" w:ascii="Times New Roman" w:hAnsi="Times New Roman" w:eastAsia="方正仿宋_GBK" w:cs="Times New Roman"/>
                <w:b/>
                <w:bCs/>
                <w:color w:val="000000"/>
                <w:sz w:val="28"/>
                <w:lang w:val="en-US" w:eastAsia="zh-CN"/>
              </w:rPr>
              <w:t>类别</w:t>
            </w:r>
          </w:p>
        </w:tc>
        <w:tc>
          <w:tcPr>
            <w:tcW w:w="3274" w:type="dxa"/>
            <w:gridSpan w:val="3"/>
            <w:tcBorders>
              <w:tl2br w:val="nil"/>
              <w:tr2bl w:val="nil"/>
            </w:tcBorders>
            <w:shd w:val="clear" w:color="auto" w:fill="auto"/>
            <w:vAlign w:val="center"/>
          </w:tcPr>
          <w:p w14:paraId="0EF9348B">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方正仿宋_GBK" w:hAnsi="方正仿宋_GBK" w:eastAsia="方正仿宋_GBK" w:cs="方正仿宋_GBK"/>
                <w:b w:val="0"/>
                <w:bCs w:val="0"/>
                <w:color w:val="000000"/>
                <w:sz w:val="28"/>
                <w:szCs w:val="28"/>
                <w:lang w:val="en-US" w:eastAsia="zh-CN"/>
              </w:rPr>
            </w:pPr>
            <w:r>
              <w:rPr>
                <w:rFonts w:hint="default" w:ascii="方正仿宋_GBK" w:hAnsi="方正仿宋_GBK" w:eastAsia="方正仿宋_GBK" w:cs="方正仿宋_GBK"/>
                <w:b w:val="0"/>
                <w:bCs w:val="0"/>
                <w:color w:val="000000"/>
                <w:sz w:val="28"/>
                <w:szCs w:val="28"/>
                <w:lang w:val="en-US" w:eastAsia="zh-CN"/>
              </w:rPr>
              <w:t>新媒体</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jc w:val="center"/>
        </w:trPr>
        <w:tc>
          <w:tcPr>
            <w:tcW w:w="992" w:type="dxa"/>
            <w:vMerge w:val="continue"/>
            <w:tcBorders>
              <w:tl2br w:val="nil"/>
              <w:tr2bl w:val="nil"/>
            </w:tcBorders>
            <w:vAlign w:val="center"/>
          </w:tcPr>
          <w:p w14:paraId="595770B0">
            <w:pPr>
              <w:spacing w:line="320" w:lineRule="exact"/>
              <w:jc w:val="center"/>
              <w:rPr>
                <w:rFonts w:hint="default" w:ascii="Times New Roman" w:hAnsi="Times New Roman" w:eastAsia="方正仿宋_GBK" w:cs="Times New Roman"/>
                <w:b/>
                <w:bCs/>
                <w:color w:val="000000"/>
                <w:sz w:val="28"/>
              </w:rPr>
            </w:pPr>
          </w:p>
        </w:tc>
        <w:tc>
          <w:tcPr>
            <w:tcW w:w="3728" w:type="dxa"/>
            <w:gridSpan w:val="4"/>
            <w:vMerge w:val="continue"/>
            <w:tcBorders>
              <w:tl2br w:val="nil"/>
              <w:tr2bl w:val="nil"/>
            </w:tcBorders>
            <w:vAlign w:val="center"/>
          </w:tcPr>
          <w:p w14:paraId="0A8AF4DF">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方正仿宋_GBK" w:hAnsi="方正仿宋_GBK" w:eastAsia="方正仿宋_GBK" w:cs="方正仿宋_GBK"/>
                <w:b w:val="0"/>
                <w:bCs w:val="0"/>
                <w:color w:val="000000"/>
                <w:sz w:val="28"/>
                <w:szCs w:val="28"/>
              </w:rPr>
            </w:pPr>
          </w:p>
        </w:tc>
        <w:tc>
          <w:tcPr>
            <w:tcW w:w="1819" w:type="dxa"/>
            <w:gridSpan w:val="2"/>
            <w:tcBorders>
              <w:tl2br w:val="nil"/>
              <w:tr2bl w:val="nil"/>
            </w:tcBorders>
            <w:shd w:val="clear" w:color="auto" w:fill="auto"/>
            <w:vAlign w:val="center"/>
          </w:tcPr>
          <w:p w14:paraId="0FE0B5D4">
            <w:pPr>
              <w:spacing w:line="380" w:lineRule="exact"/>
              <w:jc w:val="center"/>
              <w:rPr>
                <w:rFonts w:hint="default" w:ascii="Times New Roman" w:hAnsi="Times New Roman" w:eastAsia="方正仿宋_GBK" w:cs="Times New Roman"/>
                <w:b/>
                <w:bCs/>
                <w:color w:val="000000"/>
                <w:kern w:val="2"/>
                <w:sz w:val="28"/>
                <w:szCs w:val="22"/>
                <w:lang w:val="en-US" w:eastAsia="zh-CN" w:bidi="ar-SA"/>
              </w:rPr>
            </w:pPr>
            <w:r>
              <w:rPr>
                <w:rFonts w:hint="default" w:ascii="Times New Roman" w:hAnsi="Times New Roman" w:eastAsia="方正仿宋_GBK" w:cs="Times New Roman"/>
                <w:b/>
                <w:bCs/>
                <w:color w:val="000000"/>
                <w:sz w:val="28"/>
              </w:rPr>
              <w:t>体裁</w:t>
            </w:r>
          </w:p>
        </w:tc>
        <w:tc>
          <w:tcPr>
            <w:tcW w:w="3274" w:type="dxa"/>
            <w:gridSpan w:val="3"/>
            <w:tcBorders>
              <w:tl2br w:val="nil"/>
              <w:tr2bl w:val="nil"/>
            </w:tcBorders>
            <w:shd w:val="clear" w:color="auto" w:fill="auto"/>
            <w:vAlign w:val="center"/>
          </w:tcPr>
          <w:p w14:paraId="3AAC3CF0">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方正仿宋_GBK" w:hAnsi="方正仿宋_GBK" w:eastAsia="方正仿宋_GBK" w:cs="方正仿宋_GBK"/>
                <w:b w:val="0"/>
                <w:bCs w:val="0"/>
                <w:color w:val="000000"/>
                <w:sz w:val="28"/>
                <w:szCs w:val="28"/>
                <w:lang w:val="en-US" w:eastAsia="zh-CN"/>
              </w:rPr>
            </w:pPr>
            <w:r>
              <w:rPr>
                <w:rFonts w:hint="eastAsia" w:ascii="方正仿宋_GBK" w:hAnsi="方正仿宋_GBK" w:eastAsia="方正仿宋_GBK" w:cs="方正仿宋_GBK"/>
                <w:b w:val="0"/>
                <w:bCs w:val="0"/>
                <w:color w:val="000000"/>
                <w:sz w:val="28"/>
                <w:szCs w:val="28"/>
                <w:lang w:val="en-US" w:eastAsia="zh-CN"/>
              </w:rPr>
              <w:t>通讯</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992" w:type="dxa"/>
            <w:tcBorders>
              <w:tl2br w:val="nil"/>
              <w:tr2bl w:val="nil"/>
            </w:tcBorders>
            <w:vAlign w:val="center"/>
          </w:tcPr>
          <w:p w14:paraId="39E259F9">
            <w:pPr>
              <w:spacing w:line="320" w:lineRule="exact"/>
              <w:jc w:val="center"/>
              <w:rPr>
                <w:rFonts w:hint="default" w:ascii="Times New Roman" w:hAnsi="Times New Roman" w:eastAsia="方正仿宋_GBK" w:cs="Times New Roman"/>
                <w:b/>
                <w:bCs/>
                <w:color w:val="000000"/>
                <w:spacing w:val="-12"/>
                <w:sz w:val="28"/>
              </w:rPr>
            </w:pPr>
            <w:r>
              <w:rPr>
                <w:rFonts w:hint="default" w:ascii="Times New Roman" w:hAnsi="Times New Roman" w:eastAsia="方正仿宋_GBK" w:cs="Times New Roman"/>
                <w:b/>
                <w:bCs/>
                <w:color w:val="000000"/>
                <w:spacing w:val="-12"/>
                <w:sz w:val="28"/>
              </w:rPr>
              <w:t>作者</w:t>
            </w:r>
          </w:p>
          <w:p w14:paraId="56221385">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pacing w:val="-12"/>
                <w:sz w:val="16"/>
                <w:szCs w:val="16"/>
              </w:rPr>
              <w:t>（主创人员）</w:t>
            </w:r>
          </w:p>
        </w:tc>
        <w:tc>
          <w:tcPr>
            <w:tcW w:w="3728" w:type="dxa"/>
            <w:gridSpan w:val="4"/>
            <w:tcBorders>
              <w:tl2br w:val="nil"/>
              <w:tr2bl w:val="nil"/>
            </w:tcBorders>
            <w:vAlign w:val="center"/>
          </w:tcPr>
          <w:p w14:paraId="7453BB5E">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方正仿宋_GBK" w:hAnsi="方正仿宋_GBK" w:eastAsia="方正仿宋_GBK" w:cs="方正仿宋_GBK"/>
                <w:b w:val="0"/>
                <w:bCs w:val="0"/>
                <w:color w:val="000000"/>
                <w:sz w:val="28"/>
                <w:szCs w:val="28"/>
              </w:rPr>
            </w:pPr>
            <w:r>
              <w:rPr>
                <w:rFonts w:hint="eastAsia" w:ascii="方正仿宋_GBK" w:hAnsi="方正仿宋_GBK" w:eastAsia="方正仿宋_GBK" w:cs="方正仿宋_GBK"/>
                <w:b w:val="0"/>
                <w:bCs w:val="0"/>
                <w:color w:val="000000"/>
                <w:sz w:val="28"/>
                <w:szCs w:val="28"/>
                <w:lang w:val="en-US" w:eastAsia="zh-CN"/>
              </w:rPr>
              <w:t>许昌亮 刘轩 蔡敏 周志林</w:t>
            </w:r>
          </w:p>
        </w:tc>
        <w:tc>
          <w:tcPr>
            <w:tcW w:w="1819" w:type="dxa"/>
            <w:gridSpan w:val="2"/>
            <w:tcBorders>
              <w:tl2br w:val="nil"/>
              <w:tr2bl w:val="nil"/>
            </w:tcBorders>
            <w:vAlign w:val="center"/>
          </w:tcPr>
          <w:p w14:paraId="4B47EE1F">
            <w:pPr>
              <w:spacing w:line="38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编辑</w:t>
            </w:r>
          </w:p>
        </w:tc>
        <w:tc>
          <w:tcPr>
            <w:tcW w:w="3274" w:type="dxa"/>
            <w:gridSpan w:val="3"/>
            <w:tcBorders>
              <w:tl2br w:val="nil"/>
              <w:tr2bl w:val="nil"/>
            </w:tcBorders>
            <w:vAlign w:val="center"/>
          </w:tcPr>
          <w:p w14:paraId="21870789">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方正仿宋_GBK" w:hAnsi="方正仿宋_GBK" w:eastAsia="方正仿宋_GBK" w:cs="方正仿宋_GBK"/>
                <w:b w:val="0"/>
                <w:bCs w:val="0"/>
                <w:color w:val="000000"/>
                <w:sz w:val="28"/>
                <w:szCs w:val="28"/>
                <w:lang w:val="en-US" w:eastAsia="zh-CN"/>
              </w:rPr>
            </w:pPr>
            <w:r>
              <w:rPr>
                <w:rFonts w:hint="eastAsia" w:ascii="方正仿宋_GBK" w:hAnsi="方正仿宋_GBK" w:eastAsia="方正仿宋_GBK" w:cs="方正仿宋_GBK"/>
                <w:b w:val="0"/>
                <w:bCs w:val="0"/>
                <w:color w:val="000000"/>
                <w:sz w:val="28"/>
                <w:szCs w:val="28"/>
                <w:lang w:val="en-US" w:eastAsia="zh-CN"/>
              </w:rPr>
              <w:t>许昌亮</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jc w:val="center"/>
        </w:trPr>
        <w:tc>
          <w:tcPr>
            <w:tcW w:w="992" w:type="dxa"/>
            <w:tcBorders>
              <w:tl2br w:val="nil"/>
              <w:tr2bl w:val="nil"/>
            </w:tcBorders>
            <w:vAlign w:val="center"/>
          </w:tcPr>
          <w:p w14:paraId="1D26F75B">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原创</w:t>
            </w:r>
          </w:p>
          <w:p w14:paraId="0880A548">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单位</w:t>
            </w:r>
          </w:p>
        </w:tc>
        <w:tc>
          <w:tcPr>
            <w:tcW w:w="3728" w:type="dxa"/>
            <w:gridSpan w:val="4"/>
            <w:tcBorders>
              <w:tl2br w:val="nil"/>
              <w:tr2bl w:val="nil"/>
            </w:tcBorders>
            <w:vAlign w:val="center"/>
          </w:tcPr>
          <w:p w14:paraId="4A51632B">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方正仿宋_GBK" w:hAnsi="方正仿宋_GBK" w:eastAsia="方正仿宋_GBK" w:cs="方正仿宋_GBK"/>
                <w:b w:val="0"/>
                <w:bCs w:val="0"/>
                <w:color w:val="000000"/>
                <w:sz w:val="28"/>
                <w:szCs w:val="28"/>
              </w:rPr>
            </w:pPr>
            <w:r>
              <w:rPr>
                <w:rFonts w:hint="eastAsia" w:ascii="方正仿宋_GBK" w:hAnsi="方正仿宋_GBK" w:eastAsia="方正仿宋_GBK" w:cs="方正仿宋_GBK"/>
                <w:b w:val="0"/>
                <w:bCs w:val="0"/>
                <w:color w:val="000000"/>
                <w:sz w:val="28"/>
                <w:szCs w:val="28"/>
                <w:lang w:val="en-US" w:eastAsia="zh-CN"/>
              </w:rPr>
              <w:t>泗洪县融媒体中心</w:t>
            </w:r>
          </w:p>
        </w:tc>
        <w:tc>
          <w:tcPr>
            <w:tcW w:w="1819" w:type="dxa"/>
            <w:gridSpan w:val="2"/>
            <w:tcBorders>
              <w:tl2br w:val="nil"/>
              <w:tr2bl w:val="nil"/>
            </w:tcBorders>
            <w:vAlign w:val="center"/>
          </w:tcPr>
          <w:p w14:paraId="1916C51B">
            <w:pPr>
              <w:spacing w:line="260" w:lineRule="exact"/>
              <w:rPr>
                <w:rFonts w:hint="default" w:ascii="Times New Roman" w:hAnsi="Times New Roman" w:eastAsia="方正仿宋_GBK" w:cs="Times New Roman"/>
                <w:b/>
                <w:bCs/>
                <w:color w:val="000000"/>
                <w:sz w:val="24"/>
                <w:szCs w:val="36"/>
              </w:rPr>
            </w:pPr>
            <w:r>
              <w:rPr>
                <w:rFonts w:hint="default" w:ascii="Times New Roman" w:hAnsi="Times New Roman" w:eastAsia="方正仿宋_GBK" w:cs="Times New Roman"/>
                <w:b/>
                <w:bCs/>
                <w:color w:val="000000"/>
                <w:sz w:val="24"/>
                <w:szCs w:val="36"/>
              </w:rPr>
              <w:t>发布端/账号/</w:t>
            </w:r>
          </w:p>
          <w:p w14:paraId="7B62230C">
            <w:pPr>
              <w:spacing w:line="260" w:lineRule="exact"/>
              <w:rPr>
                <w:rFonts w:hint="default" w:ascii="Times New Roman" w:hAnsi="Times New Roman" w:eastAsia="方正仿宋_GBK" w:cs="Times New Roman"/>
                <w:b/>
                <w:bCs/>
                <w:color w:val="000000"/>
                <w:sz w:val="28"/>
                <w:szCs w:val="40"/>
                <w:highlight w:val="green"/>
              </w:rPr>
            </w:pPr>
            <w:r>
              <w:rPr>
                <w:rFonts w:hint="default" w:ascii="Times New Roman" w:hAnsi="Times New Roman" w:eastAsia="方正仿宋_GBK" w:cs="Times New Roman"/>
                <w:b/>
                <w:bCs/>
                <w:color w:val="000000"/>
                <w:sz w:val="24"/>
                <w:szCs w:val="36"/>
              </w:rPr>
              <w:t>媒体名称</w:t>
            </w:r>
          </w:p>
        </w:tc>
        <w:tc>
          <w:tcPr>
            <w:tcW w:w="3274" w:type="dxa"/>
            <w:gridSpan w:val="3"/>
            <w:tcBorders>
              <w:tl2br w:val="nil"/>
              <w:tr2bl w:val="nil"/>
            </w:tcBorders>
            <w:vAlign w:val="center"/>
          </w:tcPr>
          <w:p w14:paraId="1B3ABACD">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方正仿宋_GBK" w:hAnsi="方正仿宋_GBK" w:eastAsia="方正仿宋_GBK" w:cs="方正仿宋_GBK"/>
                <w:b w:val="0"/>
                <w:bCs w:val="0"/>
                <w:color w:val="000000"/>
                <w:sz w:val="28"/>
                <w:szCs w:val="28"/>
                <w:lang w:val="en-US" w:eastAsia="zh-CN"/>
              </w:rPr>
            </w:pPr>
            <w:r>
              <w:rPr>
                <w:rFonts w:hint="eastAsia" w:ascii="方正仿宋_GBK" w:hAnsi="方正仿宋_GBK" w:eastAsia="方正仿宋_GBK" w:cs="方正仿宋_GBK"/>
                <w:b w:val="0"/>
                <w:bCs w:val="0"/>
                <w:color w:val="000000"/>
                <w:sz w:val="28"/>
                <w:szCs w:val="28"/>
                <w:lang w:val="en-US" w:eastAsia="zh-CN"/>
              </w:rPr>
              <w:t>学习强国</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5" w:hRule="exact"/>
          <w:jc w:val="center"/>
        </w:trPr>
        <w:tc>
          <w:tcPr>
            <w:tcW w:w="1504" w:type="dxa"/>
            <w:gridSpan w:val="2"/>
            <w:tcBorders>
              <w:tl2br w:val="nil"/>
              <w:tr2bl w:val="nil"/>
            </w:tcBorders>
            <w:vAlign w:val="center"/>
          </w:tcPr>
          <w:p w14:paraId="04B8C047">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刊播版面</w:t>
            </w:r>
          </w:p>
          <w:p w14:paraId="6F72177F">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pacing w:val="-23"/>
                <w:sz w:val="24"/>
                <w:szCs w:val="21"/>
                <w:lang w:eastAsia="zh-CN"/>
              </w:rPr>
              <w:t>（</w:t>
            </w:r>
            <w:r>
              <w:rPr>
                <w:rFonts w:hint="default" w:ascii="Times New Roman" w:hAnsi="Times New Roman" w:eastAsia="方正仿宋_GBK" w:cs="Times New Roman"/>
                <w:b/>
                <w:bCs/>
                <w:color w:val="000000"/>
                <w:spacing w:val="-23"/>
                <w:sz w:val="22"/>
                <w:szCs w:val="21"/>
              </w:rPr>
              <w:t>名称和版次</w:t>
            </w:r>
            <w:r>
              <w:rPr>
                <w:rFonts w:hint="default" w:ascii="Times New Roman" w:hAnsi="Times New Roman" w:eastAsia="方正仿宋_GBK" w:cs="Times New Roman"/>
                <w:b/>
                <w:bCs/>
                <w:color w:val="000000"/>
                <w:spacing w:val="-23"/>
                <w:sz w:val="22"/>
                <w:szCs w:val="21"/>
                <w:lang w:eastAsia="zh-CN"/>
              </w:rPr>
              <w:t>）</w:t>
            </w:r>
          </w:p>
        </w:tc>
        <w:tc>
          <w:tcPr>
            <w:tcW w:w="3216" w:type="dxa"/>
            <w:gridSpan w:val="3"/>
            <w:tcBorders>
              <w:tl2br w:val="nil"/>
              <w:tr2bl w:val="nil"/>
            </w:tcBorders>
            <w:vAlign w:val="center"/>
          </w:tcPr>
          <w:p w14:paraId="06FC5C4D">
            <w:pPr>
              <w:spacing w:line="260" w:lineRule="exact"/>
              <w:rPr>
                <w:rFonts w:hint="default" w:ascii="Times New Roman" w:hAnsi="Times New Roman" w:eastAsia="方正仿宋_GBK" w:cs="Times New Roman"/>
                <w:b w:val="0"/>
                <w:bCs w:val="0"/>
                <w:color w:val="000000"/>
                <w:szCs w:val="21"/>
                <w:lang w:val="en-US" w:eastAsia="zh-CN"/>
              </w:rPr>
            </w:pPr>
          </w:p>
        </w:tc>
        <w:tc>
          <w:tcPr>
            <w:tcW w:w="872" w:type="dxa"/>
            <w:tcBorders>
              <w:tl2br w:val="nil"/>
              <w:tr2bl w:val="nil"/>
            </w:tcBorders>
            <w:vAlign w:val="center"/>
          </w:tcPr>
          <w:p w14:paraId="1A6D9E83">
            <w:pPr>
              <w:spacing w:line="320" w:lineRule="exact"/>
              <w:jc w:val="center"/>
              <w:rPr>
                <w:rFonts w:hint="default" w:ascii="Times New Roman" w:hAnsi="Times New Roman" w:eastAsia="方正仿宋_GBK" w:cs="Times New Roman"/>
                <w:b w:val="0"/>
                <w:bCs w:val="0"/>
                <w:color w:val="000000"/>
                <w:sz w:val="28"/>
              </w:rPr>
            </w:pPr>
            <w:r>
              <w:rPr>
                <w:rFonts w:hint="default" w:ascii="Times New Roman" w:hAnsi="Times New Roman" w:eastAsia="方正仿宋_GBK" w:cs="Times New Roman"/>
                <w:b/>
                <w:bCs/>
                <w:color w:val="000000"/>
                <w:sz w:val="28"/>
                <w:lang w:val="en-US" w:eastAsia="zh-CN"/>
              </w:rPr>
              <w:t>发布</w:t>
            </w:r>
            <w:r>
              <w:rPr>
                <w:rFonts w:hint="default" w:ascii="Times New Roman" w:hAnsi="Times New Roman" w:eastAsia="方正仿宋_GBK" w:cs="Times New Roman"/>
                <w:b/>
                <w:bCs/>
                <w:color w:val="000000"/>
                <w:sz w:val="28"/>
              </w:rPr>
              <w:t>日期</w:t>
            </w:r>
          </w:p>
        </w:tc>
        <w:tc>
          <w:tcPr>
            <w:tcW w:w="4221" w:type="dxa"/>
            <w:gridSpan w:val="4"/>
            <w:tcBorders>
              <w:tl2br w:val="nil"/>
              <w:tr2bl w:val="nil"/>
            </w:tcBorders>
            <w:vAlign w:val="center"/>
          </w:tcPr>
          <w:p w14:paraId="7A66C554">
            <w:pPr>
              <w:spacing w:line="260" w:lineRule="exact"/>
              <w:jc w:val="center"/>
              <w:rPr>
                <w:rFonts w:hint="default" w:ascii="Times New Roman" w:hAnsi="Times New Roman" w:eastAsia="方正仿宋_GBK" w:cs="Times New Roman"/>
                <w:b w:val="0"/>
                <w:bCs w:val="0"/>
                <w:color w:val="000000"/>
                <w:szCs w:val="21"/>
                <w:lang w:val="en-US"/>
              </w:rPr>
            </w:pPr>
            <w:r>
              <w:rPr>
                <w:rFonts w:hint="eastAsia" w:ascii="Times New Roman" w:hAnsi="Times New Roman" w:eastAsia="方正仿宋_GBK" w:cs="Times New Roman"/>
                <w:color w:val="auto"/>
                <w:sz w:val="28"/>
                <w:szCs w:val="28"/>
                <w:lang w:val="en-US" w:eastAsia="zh-CN"/>
              </w:rPr>
              <w:t>8月27日</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8" w:hRule="atLeast"/>
          <w:jc w:val="center"/>
        </w:trPr>
        <w:tc>
          <w:tcPr>
            <w:tcW w:w="1504" w:type="dxa"/>
            <w:gridSpan w:val="2"/>
            <w:tcBorders>
              <w:tl2br w:val="nil"/>
              <w:tr2bl w:val="nil"/>
            </w:tcBorders>
            <w:vAlign w:val="center"/>
          </w:tcPr>
          <w:p w14:paraId="2FC99FA4">
            <w:pPr>
              <w:spacing w:line="320" w:lineRule="exact"/>
              <w:jc w:val="center"/>
              <w:rPr>
                <w:rFonts w:hint="default" w:ascii="Times New Roman" w:hAnsi="Times New Roman" w:eastAsia="方正仿宋_GBK" w:cs="Times New Roman"/>
                <w:b/>
                <w:bCs/>
                <w:color w:val="000000"/>
                <w:sz w:val="24"/>
                <w:szCs w:val="21"/>
                <w:lang w:eastAsia="zh-CN"/>
              </w:rPr>
            </w:pPr>
            <w:r>
              <w:rPr>
                <w:rFonts w:hint="default" w:ascii="Times New Roman" w:hAnsi="Times New Roman" w:eastAsia="方正仿宋_GBK" w:cs="Times New Roman"/>
                <w:b/>
                <w:bCs/>
                <w:color w:val="000000"/>
                <w:sz w:val="24"/>
                <w:szCs w:val="21"/>
              </w:rPr>
              <w:t>新媒体</w:t>
            </w:r>
            <w:r>
              <w:rPr>
                <w:rFonts w:hint="default" w:ascii="Times New Roman" w:hAnsi="Times New Roman" w:eastAsia="方正仿宋_GBK" w:cs="Times New Roman"/>
                <w:b/>
                <w:bCs/>
                <w:color w:val="000000"/>
                <w:sz w:val="24"/>
                <w:szCs w:val="21"/>
                <w:lang w:val="en-US"/>
              </w:rPr>
              <w:t>作品</w:t>
            </w:r>
          </w:p>
          <w:p w14:paraId="32F6A552">
            <w:pPr>
              <w:spacing w:line="320" w:lineRule="exact"/>
              <w:jc w:val="center"/>
              <w:rPr>
                <w:rFonts w:hint="default" w:ascii="Times New Roman" w:hAnsi="Times New Roman" w:eastAsia="方正仿宋_GBK" w:cs="Times New Roman"/>
                <w:b/>
                <w:bCs/>
                <w:color w:val="000000"/>
                <w:szCs w:val="21"/>
                <w:lang w:eastAsia="zh-CN"/>
              </w:rPr>
            </w:pPr>
            <w:r>
              <w:rPr>
                <w:rFonts w:hint="default" w:ascii="Times New Roman" w:hAnsi="Times New Roman" w:eastAsia="方正仿宋_GBK" w:cs="Times New Roman"/>
                <w:b/>
                <w:bCs/>
                <w:color w:val="000000"/>
                <w:sz w:val="24"/>
                <w:szCs w:val="21"/>
                <w:lang w:val="en-US" w:eastAsia="zh-CN"/>
              </w:rPr>
              <w:t>链接</w:t>
            </w:r>
          </w:p>
        </w:tc>
        <w:tc>
          <w:tcPr>
            <w:tcW w:w="8309" w:type="dxa"/>
            <w:gridSpan w:val="8"/>
            <w:tcBorders>
              <w:tl2br w:val="nil"/>
              <w:tr2bl w:val="nil"/>
            </w:tcBorders>
            <w:vAlign w:val="center"/>
          </w:tcPr>
          <w:p w14:paraId="3A11FDC3">
            <w:pPr>
              <w:spacing w:line="260" w:lineRule="exact"/>
              <w:rPr>
                <w:rFonts w:hint="eastAsia" w:ascii="Times New Roman" w:hAnsi="Times New Roman" w:eastAsia="方正仿宋_GBK" w:cs="Times New Roman"/>
                <w:sz w:val="28"/>
                <w:szCs w:val="28"/>
                <w:lang w:eastAsia="zh-CN"/>
              </w:rPr>
            </w:pPr>
            <w:r>
              <w:rPr>
                <w:rFonts w:hint="eastAsia" w:ascii="Times New Roman" w:hAnsi="Times New Roman" w:eastAsia="方正仿宋_GBK" w:cs="Times New Roman"/>
                <w:sz w:val="28"/>
                <w:szCs w:val="28"/>
                <w:lang w:eastAsia="zh-CN"/>
              </w:rPr>
              <w:drawing>
                <wp:anchor distT="0" distB="0" distL="114300" distR="114300" simplePos="0" relativeHeight="251659264" behindDoc="0" locked="0" layoutInCell="1" allowOverlap="1">
                  <wp:simplePos x="0" y="0"/>
                  <wp:positionH relativeFrom="column">
                    <wp:posOffset>4055110</wp:posOffset>
                  </wp:positionH>
                  <wp:positionV relativeFrom="paragraph">
                    <wp:posOffset>18415</wp:posOffset>
                  </wp:positionV>
                  <wp:extent cx="1092200" cy="1092200"/>
                  <wp:effectExtent l="0" t="0" r="12700" b="12700"/>
                  <wp:wrapSquare wrapText="bothSides"/>
                  <wp:docPr id="1" name="图片 1" descr="铁流奔腾18载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铁流奔腾18载二维码"/>
                          <pic:cNvPicPr>
                            <a:picLocks noChangeAspect="1"/>
                          </pic:cNvPicPr>
                        </pic:nvPicPr>
                        <pic:blipFill>
                          <a:blip r:embed="rId5"/>
                          <a:stretch>
                            <a:fillRect/>
                          </a:stretch>
                        </pic:blipFill>
                        <pic:spPr>
                          <a:xfrm>
                            <a:off x="0" y="0"/>
                            <a:ext cx="1092200" cy="1092200"/>
                          </a:xfrm>
                          <a:prstGeom prst="rect">
                            <a:avLst/>
                          </a:prstGeom>
                        </pic:spPr>
                      </pic:pic>
                    </a:graphicData>
                  </a:graphic>
                </wp:anchor>
              </w:drawing>
            </w:r>
            <w:r>
              <w:rPr>
                <w:rFonts w:hint="default" w:ascii="Times New Roman" w:hAnsi="Times New Roman" w:eastAsia="方正仿宋_GBK" w:cs="Times New Roman"/>
                <w:sz w:val="28"/>
                <w:szCs w:val="28"/>
              </w:rPr>
              <w:t>https://article.xuexi.cn/articles/index.html?art_id=5768550454795162451&amp;item_id=5768550454795162451&amp;to_audit_timestamp=2024-12-19%2008%3A30%3A33&amp;study_style_id=feeds_default&amp;t=1748511660197&amp;showmenu=false&amp;ref_read_id=8cba4b32-ab0f-4f1c-a72f-b0a88b23cea0_1784879979853&amp;pid=&amp;ptype=-1&amp;source=share&amp;share_to=wx_single</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0" w:hRule="atLeast"/>
          <w:jc w:val="center"/>
        </w:trPr>
        <w:tc>
          <w:tcPr>
            <w:tcW w:w="992" w:type="dxa"/>
            <w:tcBorders>
              <w:tl2br w:val="nil"/>
              <w:tr2bl w:val="nil"/>
            </w:tcBorders>
            <w:vAlign w:val="center"/>
          </w:tcPr>
          <w:p w14:paraId="3869C970">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作</w:t>
            </w:r>
          </w:p>
          <w:p w14:paraId="4D61922C">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品</w:t>
            </w:r>
          </w:p>
          <w:p w14:paraId="33317C93">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简</w:t>
            </w:r>
          </w:p>
          <w:p w14:paraId="55AC6290">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介</w:t>
            </w:r>
          </w:p>
        </w:tc>
        <w:tc>
          <w:tcPr>
            <w:tcW w:w="8821" w:type="dxa"/>
            <w:gridSpan w:val="9"/>
            <w:tcBorders>
              <w:tl2br w:val="nil"/>
              <w:tr2bl w:val="nil"/>
            </w:tcBorders>
            <w:vAlign w:val="center"/>
          </w:tcPr>
          <w:p w14:paraId="755233F1">
            <w:pPr>
              <w:ind w:firstLine="420" w:firstLineChars="200"/>
              <w:rPr>
                <w:rFonts w:hint="default" w:ascii="Times New Roman" w:hAnsi="Times New Roman" w:eastAsia="方正仿宋_GBK" w:cs="Times New Roman"/>
                <w:b w:val="0"/>
                <w:bCs w:val="0"/>
                <w:color w:val="000000"/>
                <w:w w:val="95"/>
                <w:sz w:val="21"/>
                <w:szCs w:val="21"/>
              </w:rPr>
            </w:pPr>
            <w:r>
              <w:rPr>
                <w:rFonts w:hint="default" w:ascii="Times New Roman" w:hAnsi="Times New Roman" w:eastAsia="方正仿宋_GBK" w:cs="Times New Roman"/>
                <w:b w:val="0"/>
                <w:bCs w:val="0"/>
                <w:color w:val="000000"/>
                <w:sz w:val="21"/>
                <w:szCs w:val="21"/>
              </w:rPr>
              <w:t>本作品以江苏省淮北中学第18届“铁流千里考察队”活动为主线，串联出“铁流千里考察队”18年徒步重走“红色革命路”的精彩故事。记者经过1个多月跟拍，获得大量图片、视频素材，记者还查阅了历届活动资料，采访每届学生代表，邀请画师根据考察队沿途的活动，绘制出</w:t>
            </w:r>
            <w:r>
              <w:rPr>
                <w:rFonts w:hint="eastAsia" w:ascii="Times New Roman" w:hAnsi="Times New Roman" w:eastAsia="方正仿宋_GBK" w:cs="Times New Roman"/>
                <w:b w:val="0"/>
                <w:bCs w:val="0"/>
                <w:color w:val="000000"/>
                <w:sz w:val="21"/>
                <w:szCs w:val="21"/>
                <w:lang w:val="en-US" w:eastAsia="zh-CN"/>
              </w:rPr>
              <w:t>8</w:t>
            </w:r>
            <w:r>
              <w:rPr>
                <w:rFonts w:hint="default" w:ascii="Times New Roman" w:hAnsi="Times New Roman" w:eastAsia="方正仿宋_GBK" w:cs="Times New Roman"/>
                <w:b w:val="0"/>
                <w:bCs w:val="0"/>
                <w:color w:val="000000"/>
                <w:sz w:val="21"/>
                <w:szCs w:val="21"/>
              </w:rPr>
              <w:t>幅插图，前后方联动，再现了18年来“铁流千里考察队” 422名学生徒步4万多公里，并沿途向敬老院以及困难学生捐赠了26万元，他们接力传承“红色基因”的感人事迹。本作品被学习强国全国平台等多家媒体转发，引起热烈反响，获得了极大的社会关注度。作品获“学习强国”2024年秋季全国县级融媒优秀作品。</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9" w:hRule="exact"/>
          <w:jc w:val="center"/>
        </w:trPr>
        <w:tc>
          <w:tcPr>
            <w:tcW w:w="992" w:type="dxa"/>
            <w:vMerge w:val="restart"/>
            <w:tcBorders>
              <w:tl2br w:val="nil"/>
              <w:tr2bl w:val="nil"/>
            </w:tcBorders>
            <w:vAlign w:val="center"/>
          </w:tcPr>
          <w:p w14:paraId="7BFC70BA">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传</w:t>
            </w:r>
          </w:p>
          <w:p w14:paraId="0F6B8EA2">
            <w:pPr>
              <w:spacing w:line="320" w:lineRule="exact"/>
              <w:jc w:val="center"/>
              <w:rPr>
                <w:rFonts w:hint="default" w:ascii="Times New Roman" w:hAnsi="Times New Roman" w:eastAsia="方正仿宋_GBK" w:cs="Times New Roman"/>
                <w:b/>
                <w:bCs/>
                <w:color w:val="000000"/>
                <w:sz w:val="28"/>
                <w:szCs w:val="22"/>
                <w:lang w:val="en-US" w:eastAsia="zh-CN"/>
              </w:rPr>
            </w:pPr>
            <w:r>
              <w:rPr>
                <w:rFonts w:hint="default" w:ascii="Times New Roman" w:hAnsi="Times New Roman" w:eastAsia="方正仿宋_GBK" w:cs="Times New Roman"/>
                <w:b/>
                <w:bCs/>
                <w:color w:val="000000"/>
                <w:sz w:val="28"/>
                <w:szCs w:val="22"/>
              </w:rPr>
              <w:t>播</w:t>
            </w:r>
          </w:p>
          <w:p w14:paraId="1A867DFC">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数</w:t>
            </w:r>
          </w:p>
          <w:p w14:paraId="0EFA37B9">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据</w:t>
            </w:r>
          </w:p>
        </w:tc>
        <w:tc>
          <w:tcPr>
            <w:tcW w:w="1400" w:type="dxa"/>
            <w:gridSpan w:val="2"/>
            <w:tcBorders>
              <w:tl2br w:val="nil"/>
              <w:tr2bl w:val="nil"/>
            </w:tcBorders>
            <w:vAlign w:val="center"/>
          </w:tcPr>
          <w:p w14:paraId="436EEDCF">
            <w:pPr>
              <w:spacing w:line="240" w:lineRule="exact"/>
              <w:jc w:val="center"/>
              <w:rPr>
                <w:rFonts w:hint="default" w:ascii="Times New Roman" w:hAnsi="Times New Roman" w:eastAsia="方正仿宋_GBK" w:cs="Times New Roman"/>
                <w:b w:val="0"/>
                <w:bCs w:val="0"/>
                <w:color w:val="000000"/>
                <w:sz w:val="24"/>
                <w:szCs w:val="18"/>
                <w:lang w:val="en-US" w:eastAsia="zh-CN"/>
              </w:rPr>
            </w:pPr>
            <w:r>
              <w:rPr>
                <w:rFonts w:hint="default" w:ascii="Times New Roman" w:hAnsi="Times New Roman" w:eastAsia="华文楷体" w:cs="Times New Roman"/>
                <w:b/>
                <w:bCs/>
                <w:color w:val="000000"/>
                <w:kern w:val="2"/>
                <w:sz w:val="21"/>
                <w:szCs w:val="21"/>
                <w:lang w:val="en-US" w:eastAsia="zh-CN" w:bidi="ar-SA"/>
              </w:rPr>
              <w:t>全网传播量最高平台发布链接</w:t>
            </w:r>
          </w:p>
        </w:tc>
        <w:tc>
          <w:tcPr>
            <w:tcW w:w="7421" w:type="dxa"/>
            <w:gridSpan w:val="7"/>
            <w:tcBorders>
              <w:tl2br w:val="nil"/>
              <w:tr2bl w:val="nil"/>
            </w:tcBorders>
            <w:vAlign w:val="center"/>
          </w:tcPr>
          <w:p w14:paraId="10EAC8E2">
            <w:pPr>
              <w:ind w:firstLine="420" w:firstLineChars="200"/>
              <w:rPr>
                <w:rFonts w:hint="default" w:ascii="Times New Roman" w:hAnsi="Times New Roman" w:eastAsia="方正仿宋_GBK" w:cs="Times New Roman"/>
                <w:b w:val="0"/>
                <w:bCs w:val="0"/>
                <w:color w:val="000000"/>
                <w:sz w:val="21"/>
                <w:szCs w:val="21"/>
              </w:rPr>
            </w:pPr>
            <w:r>
              <w:rPr>
                <w:rFonts w:hint="default" w:ascii="Times New Roman" w:hAnsi="Times New Roman" w:eastAsia="方正仿宋_GBK" w:cs="Times New Roman"/>
                <w:b w:val="0"/>
                <w:bCs w:val="0"/>
                <w:color w:val="000000"/>
                <w:sz w:val="21"/>
                <w:szCs w:val="21"/>
              </w:rPr>
              <w:t>https://article.xuexi.cn/articles/index.html?art_id=5768550454795162451&amp;item_id=5768550454795162451&amp;to_audit_timestamp=2024-12-19%2008%3A30%3A33&amp;study_style_id=feeds_default&amp;t=1748511660197&amp;showmenu=false&amp;ref_read_id=8cba4b32-ab0f-4f1c-a72f-b0a88b23cea0_1784879979853&amp;pid=&amp;ptype=-1&amp;source=share&amp;share_to=wx_single</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992" w:type="dxa"/>
            <w:vMerge w:val="continue"/>
            <w:tcBorders>
              <w:tl2br w:val="nil"/>
              <w:tr2bl w:val="nil"/>
            </w:tcBorders>
            <w:vAlign w:val="center"/>
          </w:tcPr>
          <w:p w14:paraId="40CAB92D">
            <w:pPr>
              <w:spacing w:line="320" w:lineRule="exact"/>
              <w:jc w:val="center"/>
              <w:rPr>
                <w:rFonts w:hint="default" w:ascii="Times New Roman" w:hAnsi="Times New Roman" w:eastAsia="方正仿宋_GBK" w:cs="Times New Roman"/>
                <w:b/>
                <w:bCs/>
                <w:color w:val="000000"/>
                <w:sz w:val="28"/>
              </w:rPr>
            </w:pPr>
          </w:p>
        </w:tc>
        <w:tc>
          <w:tcPr>
            <w:tcW w:w="1400" w:type="dxa"/>
            <w:gridSpan w:val="2"/>
            <w:tcBorders>
              <w:tl2br w:val="nil"/>
              <w:tr2bl w:val="nil"/>
            </w:tcBorders>
            <w:shd w:val="clear" w:color="auto" w:fill="auto"/>
            <w:vAlign w:val="center"/>
          </w:tcPr>
          <w:p w14:paraId="359C1F04">
            <w:pPr>
              <w:spacing w:line="240" w:lineRule="exact"/>
              <w:jc w:val="center"/>
              <w:rPr>
                <w:rFonts w:hint="default" w:ascii="Times New Roman" w:hAnsi="Times New Roman" w:eastAsia="方正楷体_GBK" w:cs="Times New Roman"/>
                <w:b/>
                <w:bCs/>
                <w:color w:val="000000"/>
                <w:sz w:val="21"/>
                <w:szCs w:val="21"/>
                <w:lang w:val="en-US" w:eastAsia="zh-CN"/>
              </w:rPr>
            </w:pPr>
            <w:r>
              <w:rPr>
                <w:rFonts w:hint="default" w:ascii="Times New Roman" w:hAnsi="Times New Roman" w:eastAsia="方正楷体_GBK" w:cs="Times New Roman"/>
                <w:b/>
                <w:bCs/>
                <w:color w:val="000000"/>
                <w:sz w:val="21"/>
                <w:szCs w:val="21"/>
                <w:lang w:val="en-US" w:eastAsia="zh-CN"/>
              </w:rPr>
              <w:t>该平台</w:t>
            </w:r>
          </w:p>
          <w:p w14:paraId="0CD586AA">
            <w:pPr>
              <w:spacing w:line="24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楷体_GBK" w:cs="Times New Roman"/>
                <w:b/>
                <w:bCs/>
                <w:color w:val="000000"/>
                <w:sz w:val="21"/>
                <w:szCs w:val="21"/>
                <w:lang w:val="en-US" w:eastAsia="zh-CN"/>
              </w:rPr>
              <w:t>传播量</w:t>
            </w:r>
          </w:p>
        </w:tc>
        <w:tc>
          <w:tcPr>
            <w:tcW w:w="1323" w:type="dxa"/>
            <w:tcBorders>
              <w:tl2br w:val="nil"/>
              <w:tr2bl w:val="nil"/>
            </w:tcBorders>
            <w:shd w:val="clear" w:color="auto" w:fill="auto"/>
            <w:vAlign w:val="center"/>
          </w:tcPr>
          <w:p w14:paraId="769BF1DC">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方正仿宋_GBK" w:cs="Times New Roman"/>
                <w:b w:val="0"/>
                <w:bCs w:val="0"/>
                <w:color w:val="000000"/>
                <w:kern w:val="2"/>
                <w:sz w:val="21"/>
                <w:szCs w:val="21"/>
                <w:lang w:val="en-US" w:eastAsia="zh-CN" w:bidi="ar-SA"/>
              </w:rPr>
            </w:pPr>
            <w:r>
              <w:rPr>
                <w:rFonts w:hint="eastAsia" w:ascii="方正仿宋_GBK" w:hAnsi="方正仿宋_GBK" w:eastAsia="方正仿宋_GBK" w:cs="方正仿宋_GBK"/>
                <w:b w:val="0"/>
                <w:bCs w:val="0"/>
                <w:color w:val="000000"/>
                <w:sz w:val="28"/>
                <w:szCs w:val="28"/>
                <w:lang w:val="en-US" w:eastAsia="zh-CN"/>
              </w:rPr>
              <w:t>1673</w:t>
            </w:r>
          </w:p>
        </w:tc>
        <w:tc>
          <w:tcPr>
            <w:tcW w:w="1005" w:type="dxa"/>
            <w:tcBorders>
              <w:tl2br w:val="nil"/>
              <w:tr2bl w:val="nil"/>
            </w:tcBorders>
            <w:shd w:val="clear" w:color="auto" w:fill="auto"/>
            <w:vAlign w:val="center"/>
          </w:tcPr>
          <w:p w14:paraId="40B3F7F4">
            <w:pPr>
              <w:spacing w:line="240" w:lineRule="exact"/>
              <w:jc w:val="center"/>
              <w:rPr>
                <w:rFonts w:hint="default" w:ascii="Times New Roman" w:hAnsi="Times New Roman" w:eastAsia="方正楷体_GBK" w:cs="Times New Roman"/>
                <w:b/>
                <w:bCs/>
                <w:color w:val="000000"/>
                <w:sz w:val="21"/>
                <w:szCs w:val="21"/>
                <w:lang w:val="en-US" w:eastAsia="zh-CN"/>
              </w:rPr>
            </w:pPr>
            <w:r>
              <w:rPr>
                <w:rFonts w:hint="default" w:ascii="Times New Roman" w:hAnsi="Times New Roman" w:eastAsia="方正楷体_GBK" w:cs="Times New Roman"/>
                <w:b/>
                <w:bCs/>
                <w:color w:val="000000"/>
                <w:sz w:val="21"/>
                <w:szCs w:val="21"/>
                <w:lang w:val="en-US" w:eastAsia="zh-CN"/>
              </w:rPr>
              <w:t>该平台</w:t>
            </w:r>
          </w:p>
          <w:p w14:paraId="579A7769">
            <w:pPr>
              <w:spacing w:line="24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楷体_GBK" w:cs="Times New Roman"/>
                <w:b/>
                <w:bCs/>
                <w:color w:val="000000"/>
                <w:sz w:val="21"/>
                <w:szCs w:val="21"/>
              </w:rPr>
              <w:t>互动</w:t>
            </w:r>
            <w:r>
              <w:rPr>
                <w:rFonts w:hint="default" w:ascii="Times New Roman" w:hAnsi="Times New Roman" w:eastAsia="方正楷体_GBK" w:cs="Times New Roman"/>
                <w:b/>
                <w:bCs/>
                <w:color w:val="000000"/>
                <w:sz w:val="21"/>
                <w:szCs w:val="21"/>
                <w:lang w:val="en-US" w:eastAsia="zh-CN"/>
              </w:rPr>
              <w:t>量</w:t>
            </w:r>
          </w:p>
        </w:tc>
        <w:tc>
          <w:tcPr>
            <w:tcW w:w="2439" w:type="dxa"/>
            <w:gridSpan w:val="3"/>
            <w:tcBorders>
              <w:tl2br w:val="nil"/>
              <w:tr2bl w:val="nil"/>
            </w:tcBorders>
            <w:vAlign w:val="center"/>
          </w:tcPr>
          <w:p w14:paraId="5BE3E5F6">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方正仿宋_GBK" w:cs="Times New Roman"/>
                <w:b w:val="0"/>
                <w:bCs w:val="0"/>
                <w:color w:val="000000"/>
                <w:sz w:val="21"/>
                <w:szCs w:val="21"/>
                <w:lang w:val="en-US" w:eastAsia="zh-CN"/>
              </w:rPr>
            </w:pPr>
            <w:r>
              <w:rPr>
                <w:rFonts w:hint="eastAsia" w:ascii="方正仿宋_GBK" w:hAnsi="方正仿宋_GBK" w:eastAsia="方正仿宋_GBK" w:cs="方正仿宋_GBK"/>
                <w:b w:val="0"/>
                <w:bCs w:val="0"/>
                <w:color w:val="000000"/>
                <w:sz w:val="28"/>
                <w:szCs w:val="28"/>
                <w:lang w:val="en-US" w:eastAsia="zh-CN"/>
              </w:rPr>
              <w:t>38</w:t>
            </w:r>
          </w:p>
        </w:tc>
        <w:tc>
          <w:tcPr>
            <w:tcW w:w="1122" w:type="dxa"/>
            <w:tcBorders>
              <w:tl2br w:val="nil"/>
              <w:tr2bl w:val="nil"/>
            </w:tcBorders>
            <w:vAlign w:val="center"/>
          </w:tcPr>
          <w:p w14:paraId="50FA0102">
            <w:pPr>
              <w:spacing w:line="240" w:lineRule="exact"/>
              <w:rPr>
                <w:rFonts w:hint="default" w:ascii="Times New Roman" w:hAnsi="Times New Roman" w:eastAsia="方正仿宋_GBK" w:cs="Times New Roman"/>
                <w:b w:val="0"/>
                <w:bCs w:val="0"/>
                <w:color w:val="000000"/>
                <w:sz w:val="21"/>
                <w:szCs w:val="21"/>
              </w:rPr>
            </w:pPr>
            <w:r>
              <w:rPr>
                <w:rFonts w:hint="default" w:ascii="Times New Roman" w:hAnsi="Times New Roman" w:eastAsia="方正楷体_GBK" w:cs="Times New Roman"/>
                <w:b/>
                <w:bCs/>
                <w:color w:val="000000"/>
                <w:sz w:val="21"/>
                <w:szCs w:val="21"/>
                <w:lang w:val="en-US" w:eastAsia="zh-CN"/>
              </w:rPr>
              <w:t>全网总传播量（万）</w:t>
            </w:r>
          </w:p>
        </w:tc>
        <w:tc>
          <w:tcPr>
            <w:tcW w:w="1532" w:type="dxa"/>
            <w:tcBorders>
              <w:tl2br w:val="nil"/>
              <w:tr2bl w:val="nil"/>
            </w:tcBorders>
            <w:vAlign w:val="center"/>
          </w:tcPr>
          <w:p w14:paraId="03DD5D6F">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default" w:ascii="Times New Roman" w:hAnsi="Times New Roman" w:eastAsia="方正仿宋_GBK" w:cs="Times New Roman"/>
                <w:b w:val="0"/>
                <w:bCs w:val="0"/>
                <w:color w:val="000000"/>
                <w:sz w:val="21"/>
                <w:szCs w:val="21"/>
                <w:lang w:val="en-US" w:eastAsia="zh-CN"/>
              </w:rPr>
            </w:pPr>
            <w:r>
              <w:rPr>
                <w:rFonts w:hint="eastAsia" w:ascii="方正仿宋_GBK" w:hAnsi="方正仿宋_GBK" w:eastAsia="方正仿宋_GBK" w:cs="方正仿宋_GBK"/>
                <w:b w:val="0"/>
                <w:bCs w:val="0"/>
                <w:color w:val="000000"/>
                <w:sz w:val="28"/>
                <w:szCs w:val="28"/>
                <w:lang w:val="en-US" w:eastAsia="zh-CN"/>
              </w:rPr>
              <w:t>0.3</w:t>
            </w:r>
          </w:p>
        </w:tc>
      </w:tr>
      <w:tr w14:paraId="4615D2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1504" w:type="dxa"/>
            <w:gridSpan w:val="2"/>
            <w:tcBorders>
              <w:right w:val="single" w:color="auto" w:sz="4" w:space="0"/>
              <w:tl2br w:val="nil"/>
              <w:tr2bl w:val="nil"/>
            </w:tcBorders>
            <w:vAlign w:val="center"/>
          </w:tcPr>
          <w:p w14:paraId="6C843C77">
            <w:pPr>
              <w:spacing w:line="32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eastAsia" w:ascii="Times New Roman" w:hAnsi="Times New Roman" w:eastAsia="方正仿宋_GBK" w:cs="Times New Roman"/>
                <w:b/>
                <w:bCs/>
                <w:color w:val="000000"/>
                <w:sz w:val="28"/>
                <w:szCs w:val="22"/>
                <w:lang w:val="en-US" w:eastAsia="zh-CN"/>
              </w:rPr>
              <w:t>公示链接</w:t>
            </w:r>
          </w:p>
        </w:tc>
        <w:tc>
          <w:tcPr>
            <w:tcW w:w="8309" w:type="dxa"/>
            <w:gridSpan w:val="8"/>
            <w:tcBorders>
              <w:left w:val="single" w:color="auto" w:sz="4" w:space="0"/>
              <w:tl2br w:val="nil"/>
              <w:tr2bl w:val="nil"/>
            </w:tcBorders>
            <w:vAlign w:val="center"/>
          </w:tcPr>
          <w:p w14:paraId="256F28C5">
            <w:pPr>
              <w:spacing w:line="240" w:lineRule="exact"/>
              <w:rPr>
                <w:rFonts w:hint="default" w:ascii="Times New Roman" w:hAnsi="Times New Roman" w:eastAsia="方正仿宋_GBK" w:cs="Times New Roman"/>
                <w:b w:val="0"/>
                <w:bCs w:val="0"/>
                <w:color w:val="000000"/>
                <w:sz w:val="21"/>
                <w:szCs w:val="21"/>
                <w:lang w:val="en-US" w:eastAsia="zh-CN"/>
              </w:rPr>
            </w:pPr>
            <w:r>
              <w:rPr>
                <w:rFonts w:hint="eastAsia" w:ascii="Times New Roman" w:hAnsi="Times New Roman" w:eastAsia="方正仿宋_GBK" w:cs="Times New Roman"/>
                <w:b w:val="0"/>
                <w:bCs w:val="0"/>
                <w:color w:val="000000"/>
                <w:sz w:val="21"/>
                <w:szCs w:val="21"/>
                <w:lang w:val="en-US" w:eastAsia="zh-CN"/>
              </w:rPr>
              <w:t>申报单位填写作品公示网址，公示网站应具有新闻信息登载资质。</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43" w:hRule="exact"/>
          <w:jc w:val="center"/>
        </w:trPr>
        <w:tc>
          <w:tcPr>
            <w:tcW w:w="992" w:type="dxa"/>
            <w:tcBorders>
              <w:tl2br w:val="nil"/>
              <w:tr2bl w:val="nil"/>
            </w:tcBorders>
            <w:vAlign w:val="center"/>
          </w:tcPr>
          <w:p w14:paraId="7C530D91">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 xml:space="preserve">  </w:t>
            </w:r>
          </w:p>
          <w:p w14:paraId="2AF5CE53">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推</w:t>
            </w:r>
          </w:p>
          <w:p w14:paraId="70360EC6">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荐</w:t>
            </w:r>
          </w:p>
          <w:p w14:paraId="25BBAAD6">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理</w:t>
            </w:r>
          </w:p>
          <w:p w14:paraId="1F394BD1">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由</w:t>
            </w:r>
          </w:p>
          <w:p w14:paraId="1BE3FC92">
            <w:pPr>
              <w:spacing w:line="240" w:lineRule="exact"/>
              <w:jc w:val="center"/>
              <w:rPr>
                <w:rFonts w:hint="default" w:ascii="Times New Roman" w:hAnsi="Times New Roman" w:eastAsia="方正仿宋_GBK" w:cs="Times New Roman"/>
                <w:b/>
                <w:bCs/>
                <w:color w:val="000000"/>
                <w:sz w:val="28"/>
                <w:lang w:val="en-US" w:eastAsia="zh-CN"/>
              </w:rPr>
            </w:pPr>
            <w:r>
              <w:rPr>
                <w:rFonts w:hint="default" w:ascii="Times New Roman" w:hAnsi="Times New Roman" w:eastAsia="方正仿宋_GBK" w:cs="Times New Roman"/>
                <w:b/>
                <w:bCs/>
                <w:sz w:val="28"/>
                <w:lang w:val="en-US" w:eastAsia="zh-CN"/>
              </w:rPr>
              <w:t xml:space="preserve">  </w:t>
            </w:r>
          </w:p>
        </w:tc>
        <w:tc>
          <w:tcPr>
            <w:tcW w:w="8821" w:type="dxa"/>
            <w:gridSpan w:val="9"/>
            <w:tcBorders>
              <w:tl2br w:val="nil"/>
              <w:tr2bl w:val="nil"/>
            </w:tcBorders>
            <w:vAlign w:val="center"/>
          </w:tcPr>
          <w:p w14:paraId="38E8671A">
            <w:pPr>
              <w:spacing w:line="340" w:lineRule="exact"/>
              <w:ind w:firstLine="420" w:firstLineChars="200"/>
              <w:rPr>
                <w:rFonts w:hint="default" w:ascii="Times New Roman" w:hAnsi="Times New Roman" w:eastAsia="方正仿宋_GBK" w:cs="Times New Roman"/>
                <w:b w:val="0"/>
                <w:bCs w:val="0"/>
                <w:color w:val="000000"/>
                <w:kern w:val="2"/>
                <w:sz w:val="21"/>
                <w:szCs w:val="21"/>
                <w:lang w:val="zh-CN" w:eastAsia="zh-CN" w:bidi="zh-CN"/>
              </w:rPr>
            </w:pPr>
            <w:r>
              <w:rPr>
                <w:rFonts w:hint="cs" w:ascii="Times New Roman" w:hAnsi="Times New Roman" w:eastAsia="方正仿宋_GBK" w:cs="Times New Roman"/>
                <w:b w:val="0"/>
                <w:bCs w:val="0"/>
                <w:color w:val="000000"/>
                <w:kern w:val="2"/>
                <w:sz w:val="21"/>
                <w:szCs w:val="21"/>
                <w:lang w:val="en-US" w:eastAsia="zh-CN" w:bidi="zh-CN"/>
              </w:rPr>
              <w:t>习近平总书记强调：</w:t>
            </w:r>
            <w:r>
              <w:rPr>
                <w:rFonts w:hint="default" w:ascii="Times New Roman" w:hAnsi="Times New Roman" w:eastAsia="方正仿宋_GBK" w:cs="Times New Roman"/>
                <w:b w:val="0"/>
                <w:bCs w:val="0"/>
                <w:color w:val="000000"/>
                <w:kern w:val="2"/>
                <w:sz w:val="21"/>
                <w:szCs w:val="21"/>
                <w:lang w:val="en-US" w:eastAsia="zh-CN" w:bidi="zh-CN"/>
              </w:rPr>
              <w:t>“</w:t>
            </w:r>
            <w:r>
              <w:rPr>
                <w:rFonts w:hint="cs" w:ascii="Times New Roman" w:hAnsi="Times New Roman" w:eastAsia="方正仿宋_GBK" w:cs="Times New Roman"/>
                <w:b w:val="0"/>
                <w:bCs w:val="0"/>
                <w:color w:val="000000"/>
                <w:kern w:val="2"/>
                <w:sz w:val="21"/>
                <w:szCs w:val="21"/>
                <w:lang w:val="en-US" w:eastAsia="zh-CN" w:bidi="zh-CN"/>
              </w:rPr>
              <w:t>革命传统教育要从娃娃抓起，既注重知识灌输，又加强情感培育，使红色基因渗进血液、浸入心扉，引导广大青少年树立正确的世界观、人生观、价值观</w:t>
            </w:r>
            <w:r>
              <w:rPr>
                <w:rFonts w:hint="default" w:ascii="Times New Roman" w:hAnsi="Times New Roman" w:eastAsia="方正仿宋_GBK" w:cs="Times New Roman"/>
                <w:b w:val="0"/>
                <w:bCs w:val="0"/>
                <w:color w:val="000000"/>
                <w:kern w:val="2"/>
                <w:sz w:val="21"/>
                <w:szCs w:val="21"/>
                <w:lang w:val="en-US" w:eastAsia="zh-CN" w:bidi="zh-CN"/>
              </w:rPr>
              <w:t>”。江苏省淮北中学十八年不辍开展红色研学是落实总书记要求的具体实践，通过知行合一，把红色基因浸入学生心田。作品绘画生动，文字精炼，故事感人，具有较强的传播力和感染力。</w:t>
            </w:r>
          </w:p>
          <w:p w14:paraId="3109BF00">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方正仿宋_GBK" w:cs="Times New Roman"/>
                <w:b w:val="0"/>
                <w:bCs w:val="0"/>
                <w:color w:val="000000"/>
                <w:spacing w:val="-2"/>
                <w:sz w:val="28"/>
                <w:lang w:val="zh-CN" w:eastAsia="zh-CN"/>
              </w:rPr>
            </w:pPr>
            <w:r>
              <w:rPr>
                <w:rFonts w:hint="default" w:ascii="Times New Roman" w:hAnsi="Times New Roman" w:eastAsia="方正仿宋_GBK" w:cs="Times New Roman"/>
                <w:b w:val="0"/>
                <w:bCs w:val="0"/>
                <w:color w:val="000000"/>
                <w:spacing w:val="-2"/>
                <w:sz w:val="28"/>
                <w:lang w:val="zh-CN" w:eastAsia="zh-CN"/>
              </w:rPr>
              <w:t xml:space="preserve">                                      签名（盖单位公章）：</w:t>
            </w:r>
          </w:p>
          <w:p w14:paraId="5DF11F77">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方正仿宋_GBK" w:cs="Times New Roman"/>
                <w:b w:val="0"/>
                <w:bCs w:val="0"/>
                <w:color w:val="000000"/>
                <w:kern w:val="2"/>
                <w:sz w:val="21"/>
                <w:szCs w:val="21"/>
                <w:lang w:val="zh-CN" w:eastAsia="zh-CN" w:bidi="zh-CN"/>
              </w:rPr>
            </w:pPr>
            <w:r>
              <w:rPr>
                <w:rFonts w:hint="default" w:ascii="Times New Roman" w:hAnsi="Times New Roman" w:eastAsia="方正仿宋_GBK" w:cs="Times New Roman"/>
                <w:b w:val="0"/>
                <w:bCs w:val="0"/>
                <w:color w:val="000000"/>
                <w:spacing w:val="-2"/>
                <w:sz w:val="28"/>
                <w:lang w:val="zh-CN" w:eastAsia="zh-CN"/>
              </w:rPr>
              <w:t xml:space="preserve">                                              年  月  日</w:t>
            </w:r>
          </w:p>
        </w:tc>
      </w:tr>
    </w:tbl>
    <w:p w14:paraId="6197BBF5">
      <w:pPr>
        <w:rPr>
          <w:rFonts w:hint="default" w:ascii="Times New Roman" w:hAnsi="Times New Roman" w:cs="Times New Roma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embedRegular r:id="rId1" w:fontKey="{7C5EFA71-03D3-426D-A5EA-5A254143A342}"/>
  </w:font>
  <w:font w:name="方正小标宋_GBK">
    <w:panose1 w:val="03000509000000000000"/>
    <w:charset w:val="86"/>
    <w:family w:val="script"/>
    <w:pitch w:val="default"/>
    <w:sig w:usb0="00000001" w:usb1="080E0000" w:usb2="00000000" w:usb3="00000000" w:csb0="00040000" w:csb1="00000000"/>
    <w:embedRegular r:id="rId2" w:fontKey="{D5875457-E7A2-4E99-B567-9B70DA202419}"/>
  </w:font>
  <w:font w:name="方正仿宋_GBK">
    <w:panose1 w:val="03000509000000000000"/>
    <w:charset w:val="86"/>
    <w:family w:val="auto"/>
    <w:pitch w:val="default"/>
    <w:sig w:usb0="00000001" w:usb1="080E0000" w:usb2="00000000" w:usb3="00000000" w:csb0="00040000" w:csb1="00000000"/>
    <w:embedRegular r:id="rId3" w:fontKey="{787E435B-C595-4BCB-BBB5-E8AB214B3640}"/>
  </w:font>
  <w:font w:name="华文楷体">
    <w:panose1 w:val="02010600040101010101"/>
    <w:charset w:val="86"/>
    <w:family w:val="auto"/>
    <w:pitch w:val="default"/>
    <w:sig w:usb0="A00002BF" w:usb1="78CF7CFB" w:usb2="00000016" w:usb3="00000000" w:csb0="6006009F" w:csb1="DFD70000"/>
    <w:embedRegular r:id="rId4" w:fontKey="{B708DC49-E7F3-44F9-BE22-0BA83E324D79}"/>
  </w:font>
  <w:font w:name="方正楷体_GBK">
    <w:panose1 w:val="03000509000000000000"/>
    <w:charset w:val="86"/>
    <w:family w:val="auto"/>
    <w:pitch w:val="default"/>
    <w:sig w:usb0="00000001" w:usb1="080E0000" w:usb2="00000000" w:usb3="00000000" w:csb0="00040000" w:csb1="00000000"/>
    <w:embedRegular r:id="rId5" w:fontKey="{61517597-62D3-445E-B7F8-31CC0511F90C}"/>
  </w:font>
  <w:font w:name="楷体">
    <w:panose1 w:val="02010609060101010101"/>
    <w:charset w:val="86"/>
    <w:family w:val="modern"/>
    <w:pitch w:val="default"/>
    <w:sig w:usb0="800002BF" w:usb1="38CF7CFA" w:usb2="00000016" w:usb3="00000000" w:csb0="00040001" w:csb1="00000000"/>
    <w:embedRegular r:id="rId6" w:fontKey="{50CAD1A2-BB7C-4404-B247-805A4CF57F64}"/>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06786"/>
    <w:rsid w:val="0155181B"/>
    <w:rsid w:val="01A97B4C"/>
    <w:rsid w:val="040C2A1E"/>
    <w:rsid w:val="0B21277A"/>
    <w:rsid w:val="0B462863"/>
    <w:rsid w:val="0BDC704F"/>
    <w:rsid w:val="0C9615C8"/>
    <w:rsid w:val="0EF6634E"/>
    <w:rsid w:val="103E4A53"/>
    <w:rsid w:val="16DF3094"/>
    <w:rsid w:val="16FA2753"/>
    <w:rsid w:val="187648C4"/>
    <w:rsid w:val="1A2B27FC"/>
    <w:rsid w:val="291819B2"/>
    <w:rsid w:val="296E21E6"/>
    <w:rsid w:val="2B375D14"/>
    <w:rsid w:val="2CCF04B2"/>
    <w:rsid w:val="2E9E448B"/>
    <w:rsid w:val="2F725125"/>
    <w:rsid w:val="31523460"/>
    <w:rsid w:val="33363900"/>
    <w:rsid w:val="38C033A5"/>
    <w:rsid w:val="3A696F7B"/>
    <w:rsid w:val="3ADE3FB6"/>
    <w:rsid w:val="3B5D312D"/>
    <w:rsid w:val="3BB557A8"/>
    <w:rsid w:val="3CBA010B"/>
    <w:rsid w:val="3CD218F9"/>
    <w:rsid w:val="3D202664"/>
    <w:rsid w:val="3F0C2A04"/>
    <w:rsid w:val="499A72FA"/>
    <w:rsid w:val="4B736055"/>
    <w:rsid w:val="4CA94913"/>
    <w:rsid w:val="5D250E1A"/>
    <w:rsid w:val="60BF5B6D"/>
    <w:rsid w:val="62F5293B"/>
    <w:rsid w:val="64201A10"/>
    <w:rsid w:val="68E6311C"/>
    <w:rsid w:val="6F6B5CF5"/>
    <w:rsid w:val="70CD2B43"/>
    <w:rsid w:val="72205B7A"/>
    <w:rsid w:val="73F26870"/>
    <w:rsid w:val="7423420D"/>
    <w:rsid w:val="77884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Table Paragraph"/>
    <w:basedOn w:val="1"/>
    <w:autoRedefine/>
    <w:qFormat/>
    <w:uiPriority w:val="1"/>
    <w:rPr>
      <w:rFonts w:ascii="仿宋" w:hAnsi="仿宋" w:eastAsia="仿宋" w:cs="仿宋"/>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649</Words>
  <Characters>1298</Characters>
  <Lines>0</Lines>
  <Paragraphs>0</Paragraphs>
  <TotalTime>1</TotalTime>
  <ScaleCrop>false</ScaleCrop>
  <LinksUpToDate>false</LinksUpToDate>
  <CharactersWithSpaces>1394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凉凉之秋</cp:lastModifiedBy>
  <dcterms:modified xsi:type="dcterms:W3CDTF">2026-07-24T10:22:36Z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eyJoZGlkIjoiOTMzMTJiODc0NWUzMDY1MzNiOWIyYTU5NDFiZmI2YmQiLCJ1c2VySWQiOiIzMjE3ODUyMjkifQ==</vt:lpwstr>
  </property>
  <property fmtid="{D5CDD505-2E9C-101B-9397-08002B2CF9AE}" pid="4" name="ICV">
    <vt:lpwstr>A4D280549E7B45BF9BEE968EC526CBA7_13</vt:lpwstr>
  </property>
</Properties>
</file>